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0" w:type="dxa"/>
        <w:tblInd w:w="127" w:type="dxa"/>
        <w:shd w:val="clear" w:color="auto" w:fill="FF0000"/>
        <w:tblCellMar>
          <w:left w:w="70" w:type="dxa"/>
          <w:right w:w="70" w:type="dxa"/>
        </w:tblCellMar>
        <w:tblLook w:val="0000" w:firstRow="0" w:lastRow="0" w:firstColumn="0" w:lastColumn="0" w:noHBand="0" w:noVBand="0"/>
      </w:tblPr>
      <w:tblGrid>
        <w:gridCol w:w="8690"/>
      </w:tblGrid>
      <w:tr w:rsidR="00883CD9" w:rsidRPr="00CE3618" w:rsidTr="005612AD">
        <w:trPr>
          <w:trHeight w:val="167"/>
        </w:trPr>
        <w:tc>
          <w:tcPr>
            <w:tcW w:w="8690" w:type="dxa"/>
            <w:shd w:val="clear" w:color="auto" w:fill="FF0000"/>
          </w:tcPr>
          <w:p w:rsidR="00883CD9" w:rsidRPr="00CE3618" w:rsidRDefault="00883CD9" w:rsidP="005612AD">
            <w:pPr>
              <w:tabs>
                <w:tab w:val="left" w:pos="714"/>
                <w:tab w:val="left" w:pos="1418"/>
                <w:tab w:val="left" w:pos="2127"/>
                <w:tab w:val="left" w:pos="2836"/>
                <w:tab w:val="left" w:pos="3545"/>
                <w:tab w:val="left" w:pos="4254"/>
                <w:tab w:val="left" w:pos="4963"/>
                <w:tab w:val="left" w:pos="5672"/>
                <w:tab w:val="left" w:pos="6381"/>
                <w:tab w:val="left" w:pos="7090"/>
                <w:tab w:val="left" w:pos="7799"/>
              </w:tabs>
              <w:ind w:left="-57"/>
              <w:rPr>
                <w:rStyle w:val="z3988"/>
                <w:rFonts w:ascii="Garamond" w:hAnsi="Garamond"/>
                <w:color w:val="FF0000"/>
              </w:rPr>
            </w:pPr>
          </w:p>
        </w:tc>
      </w:tr>
    </w:tbl>
    <w:p w:rsidR="00883CD9" w:rsidRPr="00CE3618" w:rsidRDefault="00883CD9" w:rsidP="00883CD9">
      <w:pPr>
        <w:rPr>
          <w:rFonts w:ascii="Garamond" w:hAnsi="Garamond"/>
          <w:bCs/>
          <w:sz w:val="32"/>
        </w:rPr>
      </w:pPr>
    </w:p>
    <w:p w:rsidR="00883CD9" w:rsidRPr="00234E43" w:rsidRDefault="00883CD9" w:rsidP="00883CD9">
      <w:pPr>
        <w:rPr>
          <w:rFonts w:ascii="Garamond" w:hAnsi="Garamond"/>
          <w:bCs/>
          <w:sz w:val="32"/>
        </w:rPr>
      </w:pPr>
      <w:r w:rsidRPr="00234E43">
        <w:rPr>
          <w:rFonts w:ascii="Garamond" w:hAnsi="Garamond"/>
          <w:bCs/>
          <w:sz w:val="32"/>
        </w:rPr>
        <w:t xml:space="preserve">Dr. </w:t>
      </w:r>
      <w:r>
        <w:rPr>
          <w:rFonts w:ascii="Garamond" w:hAnsi="Garamond"/>
          <w:bCs/>
          <w:sz w:val="32"/>
        </w:rPr>
        <w:t>Borja</w:t>
      </w:r>
      <w:r w:rsidRPr="00234E43">
        <w:rPr>
          <w:rFonts w:ascii="Garamond" w:hAnsi="Garamond"/>
          <w:bCs/>
          <w:sz w:val="32"/>
        </w:rPr>
        <w:t xml:space="preserve"> </w:t>
      </w:r>
      <w:r>
        <w:rPr>
          <w:rFonts w:ascii="Garamond" w:hAnsi="Garamond"/>
          <w:bCs/>
          <w:sz w:val="32"/>
        </w:rPr>
        <w:t>MANZANO VÁZQUEZ</w:t>
      </w:r>
    </w:p>
    <w:p w:rsidR="00883CD9" w:rsidRPr="007A0E16" w:rsidRDefault="00883CD9" w:rsidP="00883CD9">
      <w:pPr>
        <w:rPr>
          <w:rFonts w:ascii="Garamond" w:hAnsi="Garamond"/>
          <w:bCs/>
          <w:sz w:val="32"/>
        </w:rPr>
      </w:pPr>
    </w:p>
    <w:p w:rsidR="00883CD9" w:rsidRPr="000B448E"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lang w:val="es-ES_tradnl"/>
        </w:rPr>
      </w:pPr>
      <w:r w:rsidRPr="000B448E">
        <w:rPr>
          <w:rFonts w:ascii="Garamond" w:eastAsia="ヒラギノ角ゴ Pro W3" w:hAnsi="Garamond"/>
          <w:lang w:val="es-ES_tradnl"/>
        </w:rPr>
        <w:t>Profesor Contratado Doctor Indefinido</w:t>
      </w:r>
    </w:p>
    <w:p w:rsidR="00883CD9" w:rsidRPr="000B448E"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lang w:val="es-ES_tradnl"/>
        </w:rPr>
      </w:pPr>
    </w:p>
    <w:p w:rsidR="00883CD9" w:rsidRPr="000B448E" w:rsidRDefault="00883CD9" w:rsidP="00883CD9">
      <w:pPr>
        <w:rPr>
          <w:rFonts w:ascii="Garamond" w:hAnsi="Garamond"/>
          <w:bCs/>
        </w:rPr>
      </w:pPr>
      <w:r w:rsidRPr="000B448E">
        <w:rPr>
          <w:rFonts w:ascii="Garamond" w:hAnsi="Garamond"/>
          <w:bCs/>
        </w:rPr>
        <w:t>Sexenios CNEAI: 1</w:t>
      </w:r>
    </w:p>
    <w:p w:rsidR="00883CD9" w:rsidRPr="000B448E"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p>
    <w:p w:rsidR="00883CD9" w:rsidRPr="000B448E"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r w:rsidRPr="000B448E">
        <w:rPr>
          <w:rFonts w:ascii="Garamond" w:eastAsia="ヒラギノ角ゴ Pro W3" w:hAnsi="Garamond"/>
        </w:rPr>
        <w:t>Research</w:t>
      </w:r>
    </w:p>
    <w:p w:rsidR="00883CD9" w:rsidRPr="000B448E"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rPr>
      </w:pPr>
    </w:p>
    <w:p w:rsidR="00883CD9" w:rsidRPr="0078667B" w:rsidRDefault="00883CD9" w:rsidP="00883CD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eastAsia="ヒラギノ角ゴ Pro W3" w:hAnsi="Garamond"/>
          <w:lang w:val="en-GB"/>
        </w:rPr>
      </w:pPr>
      <w:r w:rsidRPr="0078667B">
        <w:rPr>
          <w:rFonts w:ascii="Garamond" w:eastAsia="ヒラギノ角ゴ Pro W3" w:hAnsi="Garamond"/>
          <w:lang w:val="en-GB"/>
        </w:rPr>
        <w:t xml:space="preserve">Language teacher education (teacher beliefs, teacher professional development, teacher autonomy) </w:t>
      </w:r>
    </w:p>
    <w:p w:rsidR="00883CD9" w:rsidRPr="0078667B" w:rsidRDefault="00883CD9" w:rsidP="00883CD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eastAsia="ヒラギノ角ゴ Pro W3" w:hAnsi="Garamond"/>
          <w:lang w:val="en-GB"/>
        </w:rPr>
      </w:pPr>
      <w:r w:rsidRPr="0078667B">
        <w:rPr>
          <w:rFonts w:ascii="Garamond" w:eastAsia="ヒラギノ角ゴ Pro W3" w:hAnsi="Garamond"/>
          <w:lang w:val="en-GB"/>
        </w:rPr>
        <w:t>Bilingual education (empirical research on the impact of CLIL, teacher and learner beliefs on CLIL, analysis of teaching materials for CLIL, CLIL teacher education, needs analysis in the field of CLIL)</w:t>
      </w:r>
    </w:p>
    <w:p w:rsidR="00883CD9" w:rsidRPr="0078667B" w:rsidRDefault="00883CD9" w:rsidP="00883CD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eastAsia="ヒラギノ角ゴ Pro W3" w:hAnsi="Garamond"/>
          <w:lang w:val="en-GB"/>
        </w:rPr>
      </w:pPr>
      <w:r w:rsidRPr="0078667B">
        <w:rPr>
          <w:rFonts w:ascii="Garamond" w:eastAsia="ヒラギノ角ゴ Pro W3" w:hAnsi="Garamond"/>
          <w:lang w:val="en-GB"/>
        </w:rPr>
        <w:t xml:space="preserve">Affect in language teaching and learning (teacher burnout, learner motivation) </w:t>
      </w:r>
    </w:p>
    <w:p w:rsidR="00883CD9" w:rsidRPr="0078667B"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lang w:val="en-GB"/>
        </w:rPr>
      </w:pPr>
    </w:p>
    <w:p w:rsidR="00883CD9" w:rsidRPr="0078667B"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lang w:val="en-GB"/>
        </w:rPr>
      </w:pPr>
      <w:r w:rsidRPr="0078667B">
        <w:rPr>
          <w:rFonts w:ascii="Garamond" w:eastAsia="ヒラギノ角ゴ Pro W3" w:hAnsi="Garamond"/>
          <w:lang w:val="en-GB"/>
        </w:rPr>
        <w:t>RECENT AND / OR RELEVANT PUBLICATIONS</w:t>
      </w:r>
    </w:p>
    <w:p w:rsidR="00883CD9" w:rsidRPr="0078667B" w:rsidRDefault="00883CD9" w:rsidP="00883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Garamond" w:eastAsia="ヒラギノ角ゴ Pro W3" w:hAnsi="Garamond"/>
          <w:color w:val="000000"/>
          <w:lang w:val="en-GB"/>
        </w:rPr>
      </w:pPr>
    </w:p>
    <w:p w:rsidR="00883CD9" w:rsidRPr="000B448E" w:rsidRDefault="00883CD9" w:rsidP="00883CD9">
      <w:pPr>
        <w:pStyle w:val="References"/>
        <w:spacing w:before="0" w:line="240" w:lineRule="auto"/>
        <w:jc w:val="both"/>
        <w:rPr>
          <w:rFonts w:ascii="Garamond" w:hAnsi="Garamond"/>
          <w:iCs/>
          <w:lang w:val="en-US"/>
        </w:rPr>
      </w:pPr>
      <w:r w:rsidRPr="000B448E">
        <w:rPr>
          <w:rFonts w:ascii="Garamond" w:hAnsi="Garamond"/>
          <w:iCs/>
          <w:lang w:val="en-US"/>
        </w:rPr>
        <w:t xml:space="preserve">Manzano Vázquez, B. (2014). </w:t>
      </w:r>
      <w:proofErr w:type="gramStart"/>
      <w:r w:rsidRPr="000B448E">
        <w:rPr>
          <w:rFonts w:ascii="Garamond" w:hAnsi="Garamond"/>
          <w:iCs/>
          <w:lang w:val="en-US"/>
        </w:rPr>
        <w:t>Lexical transfer in the written production of a CLIL group and a non-CLIL group.</w:t>
      </w:r>
      <w:proofErr w:type="gramEnd"/>
      <w:r w:rsidRPr="000B448E">
        <w:rPr>
          <w:rFonts w:ascii="Garamond" w:hAnsi="Garamond"/>
          <w:iCs/>
          <w:lang w:val="en-US"/>
        </w:rPr>
        <w:t xml:space="preserve"> </w:t>
      </w:r>
      <w:proofErr w:type="gramStart"/>
      <w:r w:rsidRPr="000B448E">
        <w:rPr>
          <w:rFonts w:ascii="Garamond" w:hAnsi="Garamond"/>
          <w:i/>
          <w:lang w:val="en-US"/>
        </w:rPr>
        <w:t>International Journal of English Studies</w:t>
      </w:r>
      <w:r w:rsidRPr="000B448E">
        <w:rPr>
          <w:rFonts w:ascii="Garamond" w:hAnsi="Garamond"/>
          <w:iCs/>
          <w:lang w:val="en-US"/>
        </w:rPr>
        <w:t xml:space="preserve">, </w:t>
      </w:r>
      <w:r w:rsidRPr="000B448E">
        <w:rPr>
          <w:rFonts w:ascii="Garamond" w:hAnsi="Garamond"/>
          <w:i/>
          <w:lang w:val="en-US"/>
        </w:rPr>
        <w:t>14</w:t>
      </w:r>
      <w:r w:rsidRPr="000B448E">
        <w:rPr>
          <w:rFonts w:ascii="Garamond" w:hAnsi="Garamond"/>
          <w:iCs/>
          <w:lang w:val="en-US"/>
        </w:rPr>
        <w:t>(2), 57-76.</w:t>
      </w:r>
      <w:proofErr w:type="gramEnd"/>
    </w:p>
    <w:p w:rsidR="00883CD9" w:rsidRPr="000B448E" w:rsidRDefault="00883CD9" w:rsidP="00883CD9">
      <w:pPr>
        <w:pStyle w:val="References"/>
        <w:spacing w:before="0" w:line="240" w:lineRule="auto"/>
        <w:jc w:val="both"/>
        <w:rPr>
          <w:rFonts w:ascii="Garamond" w:hAnsi="Garamond"/>
          <w:iCs/>
          <w:lang w:val="en-US"/>
        </w:rPr>
      </w:pPr>
      <w:r w:rsidRPr="000B448E">
        <w:rPr>
          <w:rFonts w:ascii="Garamond" w:hAnsi="Garamond"/>
          <w:iCs/>
          <w:lang w:val="en-US"/>
        </w:rPr>
        <w:t xml:space="preserve">Manzano Vázquez, B. (2014). Die case method in der Lehrerausbildung für Lernerautonomie im Fremdsprachenunterricht [Case method as an approach to teacher education for learner autonomy in the foreign language classroom]. </w:t>
      </w:r>
      <w:r w:rsidRPr="000B448E">
        <w:rPr>
          <w:rFonts w:ascii="Garamond" w:hAnsi="Garamond"/>
          <w:i/>
          <w:lang w:val="en-US"/>
        </w:rPr>
        <w:t xml:space="preserve">Jahrbuch Deutsch </w:t>
      </w:r>
      <w:proofErr w:type="gramStart"/>
      <w:r w:rsidRPr="000B448E">
        <w:rPr>
          <w:rFonts w:ascii="Garamond" w:hAnsi="Garamond"/>
          <w:i/>
          <w:lang w:val="en-US"/>
        </w:rPr>
        <w:t>als</w:t>
      </w:r>
      <w:proofErr w:type="gramEnd"/>
      <w:r w:rsidRPr="000B448E">
        <w:rPr>
          <w:rFonts w:ascii="Garamond" w:hAnsi="Garamond"/>
          <w:i/>
          <w:lang w:val="en-US"/>
        </w:rPr>
        <w:t xml:space="preserve"> Fremdsprache</w:t>
      </w:r>
      <w:r w:rsidRPr="000B448E">
        <w:rPr>
          <w:rFonts w:ascii="Garamond" w:hAnsi="Garamond"/>
          <w:iCs/>
          <w:lang w:val="en-US"/>
        </w:rPr>
        <w:t xml:space="preserve">, </w:t>
      </w:r>
      <w:r w:rsidRPr="000B448E">
        <w:rPr>
          <w:rFonts w:ascii="Garamond" w:hAnsi="Garamond"/>
          <w:i/>
          <w:lang w:val="en-US"/>
        </w:rPr>
        <w:t>40</w:t>
      </w:r>
      <w:r w:rsidRPr="000B448E">
        <w:rPr>
          <w:rFonts w:ascii="Garamond" w:hAnsi="Garamond"/>
          <w:iCs/>
          <w:lang w:val="en-US"/>
        </w:rPr>
        <w:t>, 177–188.</w:t>
      </w:r>
    </w:p>
    <w:p w:rsidR="00883CD9" w:rsidRPr="000B448E" w:rsidRDefault="00883CD9" w:rsidP="00883CD9">
      <w:pPr>
        <w:pStyle w:val="References"/>
        <w:spacing w:before="0" w:line="240" w:lineRule="auto"/>
        <w:jc w:val="both"/>
        <w:rPr>
          <w:rFonts w:ascii="Garamond" w:hAnsi="Garamond"/>
          <w:iCs/>
          <w:lang w:val="en-US"/>
        </w:rPr>
      </w:pPr>
      <w:r w:rsidRPr="000B448E">
        <w:rPr>
          <w:rFonts w:ascii="Garamond" w:hAnsi="Garamond"/>
          <w:iCs/>
          <w:lang w:val="en-US"/>
        </w:rPr>
        <w:t xml:space="preserve">Manzano Vázquez, B. (2015). Pedagogy for autonomy in FLT: An exploratory analysis on its implementation through case studies. </w:t>
      </w:r>
      <w:r w:rsidRPr="000B448E">
        <w:rPr>
          <w:rFonts w:ascii="Garamond" w:hAnsi="Garamond"/>
          <w:i/>
          <w:lang w:val="en-US"/>
        </w:rPr>
        <w:t>Porta Linguarum</w:t>
      </w:r>
      <w:r w:rsidRPr="000B448E">
        <w:rPr>
          <w:rFonts w:ascii="Garamond" w:hAnsi="Garamond"/>
          <w:iCs/>
          <w:lang w:val="en-US"/>
        </w:rPr>
        <w:t xml:space="preserve">, </w:t>
      </w:r>
      <w:r w:rsidRPr="000B448E">
        <w:rPr>
          <w:rFonts w:ascii="Garamond" w:hAnsi="Garamond"/>
          <w:i/>
          <w:lang w:val="en-US"/>
        </w:rPr>
        <w:t>23</w:t>
      </w:r>
      <w:r w:rsidRPr="000B448E">
        <w:rPr>
          <w:rFonts w:ascii="Garamond" w:hAnsi="Garamond"/>
          <w:iCs/>
          <w:lang w:val="en-US"/>
        </w:rPr>
        <w:t>, 59</w:t>
      </w:r>
      <w:r w:rsidRPr="000B448E">
        <w:rPr>
          <w:rFonts w:ascii="Garamond" w:hAnsi="Garamond"/>
          <w:lang w:val="en-US" w:eastAsia="es-ES"/>
        </w:rPr>
        <w:t>–</w:t>
      </w:r>
      <w:r w:rsidRPr="000B448E">
        <w:rPr>
          <w:rFonts w:ascii="Garamond" w:hAnsi="Garamond"/>
          <w:iCs/>
          <w:lang w:val="en-US"/>
        </w:rPr>
        <w:t>74.</w:t>
      </w:r>
    </w:p>
    <w:p w:rsidR="00883CD9" w:rsidRPr="000B448E" w:rsidRDefault="00883CD9" w:rsidP="00883CD9">
      <w:pPr>
        <w:pStyle w:val="References"/>
        <w:spacing w:before="0" w:line="240" w:lineRule="auto"/>
        <w:jc w:val="both"/>
        <w:rPr>
          <w:rFonts w:ascii="Garamond" w:hAnsi="Garamond"/>
          <w:iCs/>
          <w:lang w:val="en-US"/>
        </w:rPr>
      </w:pPr>
      <w:r w:rsidRPr="000B448E">
        <w:rPr>
          <w:rFonts w:ascii="Garamond" w:hAnsi="Garamond"/>
          <w:iCs/>
          <w:lang w:val="en-US"/>
        </w:rPr>
        <w:t xml:space="preserve">Manzano Vázquez, B. (2015). CLIL in three monolingual communities: The examples of Extremadura, Madrid and La Rioja. </w:t>
      </w:r>
      <w:proofErr w:type="gramStart"/>
      <w:r w:rsidRPr="000B448E">
        <w:rPr>
          <w:rFonts w:ascii="Garamond" w:hAnsi="Garamond"/>
          <w:i/>
          <w:lang w:val="en-US"/>
        </w:rPr>
        <w:t>ELIA</w:t>
      </w:r>
      <w:r w:rsidRPr="000B448E">
        <w:rPr>
          <w:rFonts w:ascii="Garamond" w:hAnsi="Garamond"/>
          <w:iCs/>
          <w:lang w:val="en-US"/>
        </w:rPr>
        <w:t xml:space="preserve">, </w:t>
      </w:r>
      <w:r w:rsidRPr="000B448E">
        <w:rPr>
          <w:rFonts w:ascii="Garamond" w:hAnsi="Garamond"/>
          <w:i/>
          <w:lang w:val="en-US"/>
        </w:rPr>
        <w:t>15</w:t>
      </w:r>
      <w:r w:rsidRPr="000B448E">
        <w:rPr>
          <w:rFonts w:ascii="Garamond" w:hAnsi="Garamond"/>
          <w:iCs/>
          <w:lang w:val="en-US"/>
        </w:rPr>
        <w:t>, 135-158.</w:t>
      </w:r>
      <w:proofErr w:type="gramEnd"/>
    </w:p>
    <w:p w:rsidR="00883CD9" w:rsidRPr="000B448E" w:rsidRDefault="00883CD9" w:rsidP="00883CD9">
      <w:pPr>
        <w:pStyle w:val="References"/>
        <w:spacing w:before="0" w:line="240" w:lineRule="auto"/>
        <w:jc w:val="both"/>
        <w:rPr>
          <w:rFonts w:ascii="Garamond" w:hAnsi="Garamond"/>
        </w:rPr>
      </w:pPr>
      <w:r w:rsidRPr="000B448E">
        <w:rPr>
          <w:rFonts w:ascii="Garamond" w:hAnsi="Garamond"/>
        </w:rPr>
        <w:t xml:space="preserve">Manzano Vázquez, B. (2018). Teacher development for autonomy: An exploratory review of language teacher education for learner and teacher autonomy. </w:t>
      </w:r>
      <w:proofErr w:type="gramStart"/>
      <w:r w:rsidRPr="000B448E">
        <w:rPr>
          <w:rFonts w:ascii="Garamond" w:hAnsi="Garamond"/>
          <w:i/>
        </w:rPr>
        <w:t>Innovation in Language Learning and Teaching</w:t>
      </w:r>
      <w:r w:rsidRPr="000B448E">
        <w:rPr>
          <w:rFonts w:ascii="Garamond" w:hAnsi="Garamond"/>
        </w:rPr>
        <w:t xml:space="preserve">, </w:t>
      </w:r>
      <w:r w:rsidRPr="000B448E">
        <w:rPr>
          <w:rFonts w:ascii="Garamond" w:hAnsi="Garamond"/>
          <w:i/>
          <w:iCs/>
        </w:rPr>
        <w:t>12</w:t>
      </w:r>
      <w:r w:rsidRPr="000B448E">
        <w:rPr>
          <w:rFonts w:ascii="Garamond" w:hAnsi="Garamond"/>
        </w:rPr>
        <w:t>(4), 387–398.</w:t>
      </w:r>
      <w:proofErr w:type="gramEnd"/>
    </w:p>
    <w:p w:rsidR="00883CD9" w:rsidRPr="000B448E" w:rsidRDefault="00883CD9" w:rsidP="00883CD9">
      <w:pPr>
        <w:pStyle w:val="References"/>
        <w:spacing w:before="0" w:line="240" w:lineRule="auto"/>
        <w:jc w:val="both"/>
        <w:rPr>
          <w:rFonts w:ascii="Garamond" w:hAnsi="Garamond"/>
        </w:rPr>
      </w:pPr>
      <w:r w:rsidRPr="000B448E">
        <w:rPr>
          <w:rFonts w:ascii="Garamond" w:hAnsi="Garamond"/>
        </w:rPr>
        <w:t xml:space="preserve">Manzano Vázquez, B. (2020). From bilingualism to multilingualism in the Basque Autonomous Community: An overview of language policies and research outcomes. In M. Jiménez Raya, T. Lamb &amp; B. Manzano Vázquez (Eds.), </w:t>
      </w:r>
      <w:r w:rsidRPr="000B448E">
        <w:rPr>
          <w:rFonts w:ascii="Garamond" w:hAnsi="Garamond"/>
          <w:i/>
          <w:iCs/>
        </w:rPr>
        <w:t>Insights into Language Education Policies</w:t>
      </w:r>
      <w:r w:rsidRPr="000B448E">
        <w:rPr>
          <w:rFonts w:ascii="Garamond" w:hAnsi="Garamond"/>
        </w:rPr>
        <w:t xml:space="preserve"> (pp. 89-109). Peter Lang.</w:t>
      </w:r>
    </w:p>
    <w:p w:rsidR="00883CD9" w:rsidRPr="000B448E" w:rsidRDefault="00883CD9" w:rsidP="00883CD9">
      <w:pPr>
        <w:pStyle w:val="References"/>
        <w:spacing w:before="0" w:line="240" w:lineRule="auto"/>
        <w:jc w:val="both"/>
        <w:rPr>
          <w:rFonts w:ascii="Garamond" w:hAnsi="Garamond"/>
        </w:rPr>
      </w:pPr>
      <w:r w:rsidRPr="000B448E">
        <w:rPr>
          <w:rFonts w:ascii="Garamond" w:hAnsi="Garamond"/>
        </w:rPr>
        <w:t xml:space="preserve">Manzano Vázquez, B. (2021). </w:t>
      </w:r>
      <w:proofErr w:type="gramStart"/>
      <w:r w:rsidRPr="000B448E">
        <w:rPr>
          <w:rFonts w:ascii="Garamond" w:hAnsi="Garamond"/>
        </w:rPr>
        <w:t>A study into pre-service FL teachers’ perceptions of their willingness, ability and opportunity to promote learner autonomy.</w:t>
      </w:r>
      <w:proofErr w:type="gramEnd"/>
      <w:r w:rsidRPr="000B448E">
        <w:rPr>
          <w:rFonts w:ascii="Garamond" w:hAnsi="Garamond"/>
        </w:rPr>
        <w:t xml:space="preserve"> In M. Jiménez Raya &amp; F. Vieira (Eds.), </w:t>
      </w:r>
      <w:r w:rsidRPr="000B448E">
        <w:rPr>
          <w:rFonts w:ascii="Garamond" w:hAnsi="Garamond"/>
          <w:i/>
          <w:iCs/>
        </w:rPr>
        <w:t>Autonomy in Language Education: Theory, Research and Practice</w:t>
      </w:r>
      <w:r w:rsidRPr="000B448E">
        <w:rPr>
          <w:rFonts w:ascii="Garamond" w:hAnsi="Garamond"/>
        </w:rPr>
        <w:t xml:space="preserve"> (pp. 191-207). Routledge.</w:t>
      </w:r>
    </w:p>
    <w:p w:rsidR="00883CD9" w:rsidRPr="000B448E" w:rsidRDefault="00883CD9" w:rsidP="00883CD9">
      <w:pPr>
        <w:pStyle w:val="References"/>
        <w:spacing w:before="0" w:line="240" w:lineRule="auto"/>
        <w:jc w:val="both"/>
        <w:rPr>
          <w:rFonts w:ascii="Garamond" w:hAnsi="Garamond"/>
          <w:iCs/>
          <w:lang w:val="en-US"/>
        </w:rPr>
      </w:pPr>
      <w:proofErr w:type="gramStart"/>
      <w:r w:rsidRPr="000B448E">
        <w:rPr>
          <w:rFonts w:ascii="Garamond" w:hAnsi="Garamond"/>
          <w:iCs/>
          <w:lang w:val="en-US"/>
        </w:rPr>
        <w:t>Jiménez Raya, M., &amp; Manzano Vázquez, B. (2022).</w:t>
      </w:r>
      <w:proofErr w:type="gramEnd"/>
      <w:r w:rsidRPr="000B448E">
        <w:rPr>
          <w:rFonts w:ascii="Garamond" w:hAnsi="Garamond"/>
          <w:iCs/>
          <w:lang w:val="en-US"/>
        </w:rPr>
        <w:t xml:space="preserve"> Case pedagogy in initial teacher education: An analysis of its contribution to the development of professional competences for autonomy. </w:t>
      </w:r>
      <w:r w:rsidRPr="000B448E">
        <w:rPr>
          <w:rFonts w:ascii="Garamond" w:hAnsi="Garamond"/>
          <w:i/>
          <w:lang w:val="en-US"/>
        </w:rPr>
        <w:t>Studies in Self-Access Learning Journal</w:t>
      </w:r>
      <w:r w:rsidRPr="000B448E">
        <w:rPr>
          <w:rFonts w:ascii="Garamond" w:hAnsi="Garamond"/>
          <w:iCs/>
          <w:lang w:val="en-US"/>
        </w:rPr>
        <w:t xml:space="preserve">, </w:t>
      </w:r>
      <w:r w:rsidRPr="000B448E">
        <w:rPr>
          <w:rFonts w:ascii="Garamond" w:hAnsi="Garamond"/>
          <w:i/>
          <w:lang w:val="en-US"/>
        </w:rPr>
        <w:t>13</w:t>
      </w:r>
      <w:r w:rsidRPr="000B448E">
        <w:rPr>
          <w:rFonts w:ascii="Garamond" w:hAnsi="Garamond"/>
          <w:iCs/>
          <w:lang w:val="en-US"/>
        </w:rPr>
        <w:t>(2), 262–285.</w:t>
      </w:r>
    </w:p>
    <w:p w:rsidR="00883CD9" w:rsidRPr="000B448E" w:rsidRDefault="00883CD9" w:rsidP="00883CD9">
      <w:pPr>
        <w:pStyle w:val="References"/>
        <w:spacing w:before="0" w:line="240" w:lineRule="auto"/>
        <w:jc w:val="both"/>
        <w:rPr>
          <w:rFonts w:ascii="Garamond" w:hAnsi="Garamond"/>
        </w:rPr>
      </w:pPr>
      <w:r w:rsidRPr="000B448E">
        <w:rPr>
          <w:rFonts w:ascii="Garamond" w:hAnsi="Garamond"/>
        </w:rPr>
        <w:t xml:space="preserve">Jiménez Raya, M., Manzano Vázquez, B., &amp; Vieira, F. (Eds.) (2024). </w:t>
      </w:r>
      <w:r w:rsidRPr="000B448E">
        <w:rPr>
          <w:rFonts w:ascii="Garamond" w:hAnsi="Garamond"/>
          <w:i/>
          <w:iCs/>
        </w:rPr>
        <w:t>Pedagogies for autonomy in language teacher education: Perspectives on professional learning, identity and agency</w:t>
      </w:r>
      <w:r w:rsidRPr="000B448E">
        <w:rPr>
          <w:rFonts w:ascii="Garamond" w:hAnsi="Garamond"/>
        </w:rPr>
        <w:t>. Routledge.</w:t>
      </w:r>
    </w:p>
    <w:p w:rsidR="00883CD9" w:rsidRPr="004E3D7F" w:rsidRDefault="00883CD9" w:rsidP="00883CD9">
      <w:pPr>
        <w:pStyle w:val="References"/>
        <w:spacing w:before="0" w:line="240" w:lineRule="auto"/>
        <w:jc w:val="both"/>
        <w:rPr>
          <w:rFonts w:ascii="Garamond" w:hAnsi="Garamond"/>
        </w:rPr>
      </w:pPr>
      <w:r w:rsidRPr="000B448E">
        <w:rPr>
          <w:rFonts w:ascii="Garamond" w:hAnsi="Garamond"/>
          <w:szCs w:val="23"/>
        </w:rPr>
        <w:t>Manzano Vázquez, B. (2024). Teacher education for autonomy: An analysis of language teacher education initiatives for learner and teacher autonomy. In</w:t>
      </w:r>
      <w:r w:rsidRPr="000B448E">
        <w:rPr>
          <w:rFonts w:ascii="Garamond" w:hAnsi="Garamond"/>
          <w:szCs w:val="23"/>
          <w:lang w:val="en-US"/>
        </w:rPr>
        <w:t xml:space="preserve"> M. Jiménez Raya, B. Manzano Vázquez &amp; F. Vieira (Eds.), </w:t>
      </w:r>
      <w:bookmarkStart w:id="0" w:name="_Hlk142129008"/>
      <w:proofErr w:type="gramStart"/>
      <w:r w:rsidRPr="000B448E">
        <w:rPr>
          <w:rFonts w:ascii="Garamond" w:hAnsi="Garamond"/>
          <w:i/>
          <w:szCs w:val="23"/>
          <w:lang w:val="en-US"/>
        </w:rPr>
        <w:t>Pedagogies</w:t>
      </w:r>
      <w:proofErr w:type="gramEnd"/>
      <w:r w:rsidRPr="000B448E">
        <w:rPr>
          <w:rFonts w:ascii="Garamond" w:hAnsi="Garamond"/>
          <w:i/>
          <w:szCs w:val="23"/>
          <w:lang w:val="en-US"/>
        </w:rPr>
        <w:t xml:space="preserve"> for autonomy in language teacher education: Perspectives on professional learning, identity and agency </w:t>
      </w:r>
      <w:bookmarkEnd w:id="0"/>
      <w:r w:rsidRPr="000B448E">
        <w:rPr>
          <w:rFonts w:ascii="Garamond" w:hAnsi="Garamond"/>
          <w:szCs w:val="23"/>
          <w:lang w:val="en-US"/>
        </w:rPr>
        <w:t xml:space="preserve">(pp. 12-28). </w:t>
      </w:r>
      <w:r w:rsidRPr="000B448E">
        <w:rPr>
          <w:rFonts w:ascii="Garamond" w:hAnsi="Garamond"/>
          <w:szCs w:val="23"/>
        </w:rPr>
        <w:t>Routledge.</w:t>
      </w:r>
    </w:p>
    <w:p w:rsidR="00883CD9" w:rsidRPr="007A0E16" w:rsidRDefault="00883CD9" w:rsidP="00883CD9">
      <w:pPr>
        <w:rPr>
          <w:rFonts w:ascii="Garamond" w:hAnsi="Garamond"/>
          <w:bCs/>
          <w:sz w:val="32"/>
        </w:rPr>
      </w:pPr>
    </w:p>
    <w:p w:rsidR="00883CD9" w:rsidRPr="002A6692" w:rsidRDefault="00883CD9" w:rsidP="00883CD9">
      <w:pPr>
        <w:tabs>
          <w:tab w:val="left" w:pos="714"/>
          <w:tab w:val="left" w:pos="1418"/>
          <w:tab w:val="left" w:pos="2127"/>
          <w:tab w:val="left" w:pos="2836"/>
          <w:tab w:val="left" w:pos="3545"/>
          <w:tab w:val="left" w:pos="4254"/>
          <w:tab w:val="left" w:pos="4963"/>
          <w:tab w:val="left" w:pos="5672"/>
          <w:tab w:val="left" w:pos="6381"/>
          <w:tab w:val="left" w:pos="7090"/>
          <w:tab w:val="left" w:pos="7799"/>
        </w:tabs>
        <w:rPr>
          <w:rStyle w:val="z3988"/>
          <w:rFonts w:ascii="Garamond" w:hAnsi="Garamond"/>
        </w:rPr>
      </w:pPr>
    </w:p>
    <w:p w:rsidR="009A078F" w:rsidRDefault="009A078F">
      <w:bookmarkStart w:id="1" w:name="_GoBack"/>
      <w:bookmarkEnd w:id="1"/>
    </w:p>
    <w:sectPr w:rsidR="009A078F" w:rsidSect="00472C3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E33D3"/>
    <w:multiLevelType w:val="hybridMultilevel"/>
    <w:tmpl w:val="B596D31A"/>
    <w:lvl w:ilvl="0" w:tplc="358A53A8">
      <w:start w:val="5"/>
      <w:numFmt w:val="bullet"/>
      <w:lvlText w:val=""/>
      <w:lvlJc w:val="left"/>
      <w:pPr>
        <w:ind w:left="720" w:hanging="360"/>
      </w:pPr>
      <w:rPr>
        <w:rFonts w:ascii="Symbol" w:eastAsia="ヒラギノ角ゴ Pro W3" w:hAnsi="Symbol" w:cs="Times New Roman"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D9"/>
    <w:rsid w:val="00472C30"/>
    <w:rsid w:val="00883CD9"/>
    <w:rsid w:val="009A07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54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D9"/>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3988">
    <w:name w:val="z3988"/>
    <w:rsid w:val="00883CD9"/>
    <w:rPr>
      <w:color w:val="000000"/>
      <w:sz w:val="24"/>
    </w:rPr>
  </w:style>
  <w:style w:type="paragraph" w:customStyle="1" w:styleId="References">
    <w:name w:val="References"/>
    <w:basedOn w:val="Normal"/>
    <w:qFormat/>
    <w:rsid w:val="00883CD9"/>
    <w:pPr>
      <w:spacing w:before="120" w:line="360" w:lineRule="auto"/>
      <w:ind w:left="720" w:hanging="720"/>
      <w:contextualSpacing/>
    </w:pPr>
    <w:rPr>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D9"/>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3988">
    <w:name w:val="z3988"/>
    <w:rsid w:val="00883CD9"/>
    <w:rPr>
      <w:color w:val="000000"/>
      <w:sz w:val="24"/>
    </w:rPr>
  </w:style>
  <w:style w:type="paragraph" w:customStyle="1" w:styleId="References">
    <w:name w:val="References"/>
    <w:basedOn w:val="Normal"/>
    <w:qFormat/>
    <w:rsid w:val="00883CD9"/>
    <w:pPr>
      <w:spacing w:before="120" w:line="360" w:lineRule="auto"/>
      <w:ind w:left="720" w:hanging="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2367</Characters>
  <Application>Microsoft Macintosh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Díaz Dueñas</dc:creator>
  <cp:keywords/>
  <dc:description/>
  <cp:lastModifiedBy>Mercedes Díaz Dueñas</cp:lastModifiedBy>
  <cp:revision>1</cp:revision>
  <dcterms:created xsi:type="dcterms:W3CDTF">2025-03-08T17:03:00Z</dcterms:created>
  <dcterms:modified xsi:type="dcterms:W3CDTF">2025-03-08T17:03:00Z</dcterms:modified>
</cp:coreProperties>
</file>