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es-ES"/>
        </w:rPr>
      </w:pPr>
      <w:r>
        <w:rPr>
          <w:rFonts w:ascii="Times New Roman" w:hAnsi="Times New Roman"/>
          <w:b/>
          <w:color w:val="000000"/>
          <w:sz w:val="28"/>
          <w:lang w:eastAsia="es-ES"/>
        </w:rPr>
        <w:t>Línea</w:t>
      </w:r>
      <w:r w:rsidR="002E6B4C">
        <w:rPr>
          <w:rFonts w:ascii="Times New Roman" w:hAnsi="Times New Roman"/>
          <w:b/>
          <w:color w:val="000000"/>
          <w:sz w:val="28"/>
          <w:lang w:eastAsia="es-ES"/>
        </w:rPr>
        <w:t>s</w:t>
      </w:r>
      <w:r>
        <w:rPr>
          <w:rFonts w:ascii="Times New Roman" w:hAnsi="Times New Roman"/>
          <w:b/>
          <w:color w:val="000000"/>
          <w:sz w:val="28"/>
          <w:lang w:eastAsia="es-ES"/>
        </w:rPr>
        <w:t xml:space="preserve"> de Investigación: </w:t>
      </w:r>
      <w:r w:rsidR="002E6B4C">
        <w:rPr>
          <w:rFonts w:ascii="Times New Roman" w:hAnsi="Times New Roman"/>
          <w:b/>
          <w:color w:val="000000"/>
          <w:sz w:val="28"/>
          <w:lang w:eastAsia="es-ES"/>
        </w:rPr>
        <w:t>Psicología del Prejuicio y la Discriminación, Psicología Social, relaciones interpersonales y de género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u w:val="single"/>
          <w:lang w:eastAsia="es-ES"/>
        </w:rPr>
      </w:pPr>
      <w:r w:rsidRPr="00E770CC">
        <w:rPr>
          <w:rFonts w:ascii="Times New Roman" w:hAnsi="Times New Roman"/>
          <w:color w:val="000000"/>
          <w:u w:val="single"/>
          <w:lang w:eastAsia="es-ES"/>
        </w:rPr>
        <w:t>Soledad de Lemus Martín</w:t>
      </w:r>
      <w:r>
        <w:rPr>
          <w:rFonts w:ascii="Times New Roman" w:hAnsi="Times New Roman"/>
          <w:color w:val="000000"/>
          <w:u w:val="single"/>
          <w:lang w:eastAsia="es-ES"/>
        </w:rPr>
        <w:t xml:space="preserve"> (</w:t>
      </w:r>
      <w:hyperlink r:id="rId6" w:history="1">
        <w:r w:rsidRPr="00E770CC">
          <w:rPr>
            <w:rStyle w:val="Hipervnculo"/>
            <w:rFonts w:ascii="Times New Roman" w:hAnsi="Times New Roman"/>
            <w:lang w:eastAsia="es-ES"/>
          </w:rPr>
          <w:t>web personal</w:t>
        </w:r>
      </w:hyperlink>
      <w:r>
        <w:rPr>
          <w:rFonts w:ascii="Times New Roman" w:hAnsi="Times New Roman"/>
          <w:color w:val="000000"/>
          <w:u w:val="single"/>
          <w:lang w:eastAsia="es-ES"/>
        </w:rPr>
        <w:t>)</w:t>
      </w:r>
    </w:p>
    <w:p w:rsidR="00E770CC" w:rsidRPr="00A11208" w:rsidRDefault="00E770CC" w:rsidP="00E770C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000000"/>
          <w:sz w:val="6"/>
          <w:lang w:eastAsia="es-ES"/>
        </w:rPr>
      </w:pPr>
    </w:p>
    <w:p w:rsidR="00E770CC" w:rsidRPr="00757894" w:rsidRDefault="00981759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000000"/>
          <w:lang w:eastAsia="es-ES"/>
        </w:rPr>
      </w:pPr>
      <w:r>
        <w:rPr>
          <w:rFonts w:ascii="Times New Roman" w:hAnsi="Times New Roman"/>
          <w:b/>
          <w:color w:val="000000"/>
          <w:lang w:eastAsia="es-ES"/>
        </w:rPr>
        <w:t>Propuesta</w:t>
      </w:r>
      <w:r w:rsidR="00757894" w:rsidRPr="00757894">
        <w:rPr>
          <w:rFonts w:ascii="Times New Roman" w:hAnsi="Times New Roman"/>
          <w:b/>
          <w:color w:val="000000"/>
          <w:lang w:eastAsia="es-ES"/>
        </w:rPr>
        <w:t xml:space="preserve"> </w:t>
      </w:r>
      <w:r>
        <w:rPr>
          <w:rFonts w:ascii="Times New Roman" w:hAnsi="Times New Roman"/>
          <w:b/>
          <w:color w:val="000000"/>
          <w:lang w:eastAsia="es-ES"/>
        </w:rPr>
        <w:t>1</w:t>
      </w:r>
      <w:r w:rsidR="00E770CC" w:rsidRPr="00757894">
        <w:rPr>
          <w:rFonts w:ascii="Times New Roman" w:hAnsi="Times New Roman"/>
          <w:b/>
          <w:color w:val="000000"/>
          <w:lang w:eastAsia="es-ES"/>
        </w:rPr>
        <w:t>:</w:t>
      </w:r>
      <w:r w:rsidR="00E770CC" w:rsidRPr="00757894">
        <w:rPr>
          <w:b/>
        </w:rPr>
        <w:t xml:space="preserve"> </w:t>
      </w:r>
      <w:r w:rsidR="00E770CC" w:rsidRPr="00757894">
        <w:rPr>
          <w:rFonts w:ascii="Times New Roman" w:hAnsi="Times New Roman"/>
          <w:b/>
          <w:color w:val="000000"/>
          <w:lang w:eastAsia="es-ES"/>
        </w:rPr>
        <w:t xml:space="preserve">Reacciones ante </w:t>
      </w:r>
      <w:r w:rsidR="00757894" w:rsidRPr="00757894">
        <w:rPr>
          <w:rFonts w:ascii="Times New Roman" w:hAnsi="Times New Roman"/>
          <w:b/>
          <w:color w:val="000000"/>
          <w:lang w:eastAsia="es-ES"/>
        </w:rPr>
        <w:t xml:space="preserve">el sexismo y </w:t>
      </w:r>
      <w:r>
        <w:rPr>
          <w:rFonts w:ascii="Times New Roman" w:hAnsi="Times New Roman"/>
          <w:b/>
          <w:color w:val="000000"/>
          <w:lang w:eastAsia="es-ES"/>
        </w:rPr>
        <w:t>otras formas de prejuicio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-189589</wp:posOffset>
                </wp:positionH>
                <wp:positionV relativeFrom="paragraph">
                  <wp:posOffset>236855</wp:posOffset>
                </wp:positionV>
                <wp:extent cx="6431280" cy="1924216"/>
                <wp:effectExtent l="0" t="0" r="2667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92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94" w:rsidRPr="00F735F3" w:rsidRDefault="00757894" w:rsidP="00757894">
                            <w:r>
                              <w:t>Los miembros de grupos sociales minoritarios (ej., mujeres, inmigrantes…) a menudo se enfrentan a situaciones en los que son discriminados por su pertenencia grupal. Ante una situación de discriminación, las personas que la experimentan pueden reaccionar confrontándola de forma más directa o explícita (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>., expresando su disconformidad clara con la situación) o más indirecta o implícita (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., utilizando el humor, frunciendo el ceño, o a nivel más básico, activando unos conceptos u otros tanto a nivel semántico como afectivo). El objetivo fundamental de esta línea será  estudiar procesos relacionados con la resistencia </w:t>
                            </w:r>
                            <w:r w:rsidR="000D7172">
                              <w:t xml:space="preserve">tanto a nivel explícito (p.ej., confrontación, protestas, acciones colectivas) como implícito (p.ej., activación de sesgo </w:t>
                            </w:r>
                            <w:proofErr w:type="spellStart"/>
                            <w:r w:rsidR="000D7172">
                              <w:t>endogrupal</w:t>
                            </w:r>
                            <w:proofErr w:type="spellEnd"/>
                            <w:r w:rsidR="000D7172">
                              <w:t xml:space="preserve">, inhibición de estereotipos) </w:t>
                            </w:r>
                            <w:r>
                              <w:t xml:space="preserve">a situaciones de desigualdad por parte de los miembros de grupos en desventaja social. </w:t>
                            </w:r>
                          </w:p>
                          <w:p w:rsidR="00E770CC" w:rsidRPr="00F735F3" w:rsidRDefault="00E770CC" w:rsidP="00E77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95pt;margin-top:18.65pt;width:506.4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utMwIAAF8EAAAOAAAAZHJzL2Uyb0RvYy54bWysVNtu2zAMfR+wfxD0vjr20i416hRdug4D&#10;ugvQ7QMUSY6FyaJGKbG7ry8lp5mx7WmYHwRRpI4OD0lfXY+9ZQeNwYBreHm24Ew7Ccq4XcO/fb17&#10;teIsROGUsOB0wx914Nfrly+uBl/rCjqwSiMjEBfqwTe8i9HXRRFkp3sRzsBrR84WsBeRTNwVCsVA&#10;6L0tqsXiohgAlUeQOgQ6vZ2cfJ3x21bL+Lltg47MNpy4xbxiXrdpLdZXot6h8J2RRxriH1j0wjh6&#10;9AR1K6JgezR/QPVGIgRo45mEvoC2NVLnHCibcvFbNg+d8DrnQuIEf5Ip/D9Y+enwBZlRVDvOnOip&#10;RJu9UAhMaRb1GIGVSaTBh5piHzxFx/EtjOlCSjj4e5DfA3Ow6YTb6RtEGDotFJHMN4vZ1QknJJDt&#10;8BEUvSb2ETLQ2GKfAEkTRuhUrMdTgYgHk3R4sXxdVitySfKVl9WyKi8Su0LUz9c9hvheQ8/SpuFI&#10;HZDhxeE+xCn0OSTTB2vUnbE2G7jbbiyyg6BuucvfET3Mw6xjQ8Mvz6vzSYG5L8whFvn7G0RvIrW9&#10;NX3DV6cgUSfd3jmVmzIKY6c9ZWcdJZmETNpNKsZxOx4Ld6zPFtQjKYswdTlNJW06wJ+cDdThDQ8/&#10;9gI1Z/aDo+pclstlGolsLM/fVGTg3LOde4STBNXwyNm03cRpjPYeza6jl6Z+cHBDFW1N1joxnlgd&#10;6VMX52odJy6NydzOUb/+C+snAAAA//8DAFBLAwQUAAYACAAAACEArbRL3d8AAAAKAQAADwAAAGRy&#10;cy9kb3ducmV2LnhtbEyPwU7DMAyG70i8Q2QkLmhLaaetLU0nhASCGwwE16zx2orGKUnWlbfHnODo&#10;359+f662sx3EhD70jhRcLxMQSI0zPbUK3l7vFzmIEDUZPThCBd8YYFufn1W6NO5ELzjtYiu4hEKp&#10;FXQxjqWUoenQ6rB0IxLvDs5bHXn0rTRen7jcDjJNkrW0uie+0OkR7zpsPndHqyBfPU4f4Sl7fm/W&#10;h6GIV5vp4csrdXkx396AiDjHPxh+9VkdanbauyOZIAYFi7QoGFWQbTIQDBR5ysGeg1WSgawr+f+F&#10;+gcAAP//AwBQSwECLQAUAAYACAAAACEAtoM4kv4AAADhAQAAEwAAAAAAAAAAAAAAAAAAAAAAW0Nv&#10;bnRlbnRfVHlwZXNdLnhtbFBLAQItABQABgAIAAAAIQA4/SH/1gAAAJQBAAALAAAAAAAAAAAAAAAA&#10;AC8BAABfcmVscy8ucmVsc1BLAQItABQABgAIAAAAIQBvV6utMwIAAF8EAAAOAAAAAAAAAAAAAAAA&#10;AC4CAABkcnMvZTJvRG9jLnhtbFBLAQItABQABgAIAAAAIQCttEvd3wAAAAoBAAAPAAAAAAAAAAAA&#10;AAAAAI0EAABkcnMvZG93bnJldi54bWxQSwUGAAAAAAQABADzAAAAmQUAAAAA&#10;">
                <v:textbox>
                  <w:txbxContent>
                    <w:p w:rsidR="00757894" w:rsidRPr="00F735F3" w:rsidRDefault="00757894" w:rsidP="00757894">
                      <w:r>
                        <w:t>Los miembros de grupos sociales minoritarios (ej., mujeres, inmigrantes…) a menudo se enfrentan a situaciones en los que son discriminados por su pertenencia grupal. Ante una situación de discriminación, las personas que la experimentan pueden reaccionar confrontándola de forma más directa o explícita (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>., expresando su disconformidad clara con la situación) o más indirecta o implícita (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., utilizando el humor, frunciendo el ceño, o a nivel más básico, activando unos conceptos u otros tanto a nivel semántico como afectivo). El objetivo fundamental de esta línea será  estudiar procesos relacionados con la resistencia </w:t>
                      </w:r>
                      <w:r w:rsidR="000D7172">
                        <w:t xml:space="preserve">tanto a nivel explícito (p.ej., confrontación, protestas, acciones colectivas) como implícito (p.ej., activación de sesgo </w:t>
                      </w:r>
                      <w:proofErr w:type="spellStart"/>
                      <w:r w:rsidR="000D7172">
                        <w:t>endogrupal</w:t>
                      </w:r>
                      <w:proofErr w:type="spellEnd"/>
                      <w:r w:rsidR="000D7172">
                        <w:t xml:space="preserve">, inhibición de estereotipos) </w:t>
                      </w:r>
                      <w:r>
                        <w:t xml:space="preserve">a situaciones de desigualdad por parte de los miembros de grupos en desventaja social. </w:t>
                      </w:r>
                    </w:p>
                    <w:p w:rsidR="00E770CC" w:rsidRPr="00F735F3" w:rsidRDefault="00E770CC" w:rsidP="00E770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lang w:eastAsia="es-ES"/>
        </w:rPr>
        <w:t>Breve descripción (No más de 150 palabras):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CE0015" w:rsidRDefault="00CE0015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color w:val="000000"/>
          <w:lang w:eastAsia="es-ES"/>
        </w:rPr>
        <w:t xml:space="preserve">Bibliografía </w:t>
      </w:r>
      <w:r w:rsidR="00654022">
        <w:rPr>
          <w:rFonts w:ascii="Times New Roman" w:hAnsi="Times New Roman"/>
          <w:color w:val="000000"/>
          <w:lang w:eastAsia="es-ES"/>
        </w:rPr>
        <w:t>de interés</w:t>
      </w:r>
      <w:r>
        <w:rPr>
          <w:rFonts w:ascii="Times New Roman" w:hAnsi="Times New Roman"/>
          <w:color w:val="000000"/>
          <w:lang w:eastAsia="es-ES"/>
        </w:rPr>
        <w:t xml:space="preserve">: </w:t>
      </w:r>
    </w:p>
    <w:p w:rsidR="00757894" w:rsidRDefault="00757894" w:rsidP="00654022"/>
    <w:p w:rsidR="00757894" w:rsidRDefault="00757894" w:rsidP="007578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color w:val="000000"/>
          <w:lang w:eastAsia="es-ES"/>
        </w:rPr>
        <w:t xml:space="preserve">Bibliografía de interés: </w:t>
      </w:r>
    </w:p>
    <w:p w:rsidR="009619DB" w:rsidRPr="009619DB" w:rsidRDefault="009619DB" w:rsidP="009619DB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9619DB">
        <w:rPr>
          <w:rFonts w:asciiTheme="minorHAnsi" w:hAnsiTheme="minorHAnsi" w:cstheme="minorHAnsi"/>
          <w:bCs/>
          <w:iCs/>
        </w:rPr>
        <w:t>Stroebe</w:t>
      </w:r>
      <w:proofErr w:type="spellEnd"/>
      <w:r w:rsidRPr="009619DB">
        <w:rPr>
          <w:rFonts w:asciiTheme="minorHAnsi" w:hAnsiTheme="minorHAnsi" w:cstheme="minorHAnsi"/>
          <w:bCs/>
          <w:iCs/>
        </w:rPr>
        <w:t xml:space="preserve">, K. &amp; </w:t>
      </w:r>
      <w:r w:rsidRPr="009619DB">
        <w:rPr>
          <w:rFonts w:asciiTheme="minorHAnsi" w:hAnsiTheme="minorHAnsi" w:cstheme="minorHAnsi"/>
          <w:b/>
          <w:bCs/>
          <w:iCs/>
        </w:rPr>
        <w:t>de Lemus, S.</w:t>
      </w:r>
      <w:r w:rsidRPr="009619DB">
        <w:rPr>
          <w:rFonts w:asciiTheme="minorHAnsi" w:hAnsiTheme="minorHAnsi" w:cstheme="minorHAnsi"/>
          <w:bCs/>
          <w:iCs/>
        </w:rPr>
        <w:t xml:space="preserve"> (2015). </w:t>
      </w:r>
      <w:r w:rsidRPr="009619DB">
        <w:rPr>
          <w:rFonts w:asciiTheme="minorHAnsi" w:hAnsiTheme="minorHAnsi" w:cstheme="minorHAnsi"/>
          <w:lang w:val="en-US"/>
        </w:rPr>
        <w:t>Special issue on "Resisting and confronting disadvantage: from individu</w:t>
      </w:r>
      <w:bookmarkStart w:id="0" w:name="_GoBack"/>
      <w:bookmarkEnd w:id="0"/>
      <w:r w:rsidRPr="009619DB">
        <w:rPr>
          <w:rFonts w:asciiTheme="minorHAnsi" w:hAnsiTheme="minorHAnsi" w:cstheme="minorHAnsi"/>
          <w:lang w:val="en-US"/>
        </w:rPr>
        <w:t xml:space="preserve">al coping to societal change". </w:t>
      </w:r>
      <w:proofErr w:type="gramStart"/>
      <w:r w:rsidRPr="009619DB">
        <w:rPr>
          <w:rFonts w:asciiTheme="minorHAnsi" w:hAnsiTheme="minorHAnsi" w:cstheme="minorHAnsi"/>
          <w:i/>
          <w:lang w:val="en-US"/>
        </w:rPr>
        <w:t>Journal of Social Issues</w:t>
      </w:r>
      <w:r w:rsidRPr="009619DB">
        <w:rPr>
          <w:rFonts w:asciiTheme="minorHAnsi" w:hAnsiTheme="minorHAnsi" w:cstheme="minorHAnsi"/>
          <w:lang w:val="en-US"/>
        </w:rPr>
        <w:t>,</w:t>
      </w:r>
      <w:r w:rsidRPr="009619DB">
        <w:rPr>
          <w:rFonts w:asciiTheme="minorHAnsi" w:hAnsiTheme="minorHAnsi" w:cstheme="minorHAnsi"/>
          <w:i/>
          <w:lang w:val="en-US"/>
        </w:rPr>
        <w:t xml:space="preserve"> 71, 3.</w:t>
      </w:r>
      <w:proofErr w:type="gramEnd"/>
    </w:p>
    <w:p w:rsidR="00757894" w:rsidRDefault="00757894" w:rsidP="00757894">
      <w:pPr>
        <w:jc w:val="both"/>
        <w:rPr>
          <w:rFonts w:asciiTheme="minorHAnsi" w:hAnsiTheme="minorHAnsi" w:cstheme="minorHAnsi"/>
        </w:rPr>
      </w:pPr>
      <w:proofErr w:type="gramStart"/>
      <w:r w:rsidRPr="009619DB">
        <w:rPr>
          <w:rFonts w:asciiTheme="minorHAnsi" w:hAnsiTheme="minorHAnsi" w:cstheme="minorHAnsi"/>
          <w:b/>
          <w:bCs/>
          <w:iCs/>
          <w:lang w:val="en-US"/>
        </w:rPr>
        <w:t>de</w:t>
      </w:r>
      <w:proofErr w:type="gramEnd"/>
      <w:r w:rsidRPr="009619DB">
        <w:rPr>
          <w:rFonts w:asciiTheme="minorHAnsi" w:hAnsiTheme="minorHAnsi" w:cstheme="minorHAnsi"/>
          <w:b/>
          <w:bCs/>
          <w:iCs/>
          <w:lang w:val="en-US"/>
        </w:rPr>
        <w:t xml:space="preserve"> Lemus, S.,</w:t>
      </w:r>
      <w:r w:rsidRPr="009619DB">
        <w:rPr>
          <w:rFonts w:asciiTheme="minorHAnsi" w:hAnsiTheme="minorHAnsi" w:cstheme="minorHAnsi"/>
          <w:bCs/>
          <w:iCs/>
          <w:lang w:val="en-US"/>
        </w:rPr>
        <w:t xml:space="preserve"> Bukowski, M., Spears, R. &amp; </w:t>
      </w:r>
      <w:proofErr w:type="spellStart"/>
      <w:r w:rsidRPr="009619DB">
        <w:rPr>
          <w:rFonts w:asciiTheme="minorHAnsi" w:hAnsiTheme="minorHAnsi" w:cstheme="minorHAnsi"/>
          <w:bCs/>
          <w:iCs/>
          <w:lang w:val="en-US"/>
        </w:rPr>
        <w:t>Telga</w:t>
      </w:r>
      <w:proofErr w:type="spellEnd"/>
      <w:r w:rsidRPr="009619DB">
        <w:rPr>
          <w:rFonts w:asciiTheme="minorHAnsi" w:hAnsiTheme="minorHAnsi" w:cstheme="minorHAnsi"/>
          <w:bCs/>
          <w:iCs/>
          <w:lang w:val="en-US"/>
        </w:rPr>
        <w:t>, M.</w:t>
      </w:r>
      <w:r w:rsidR="009619DB" w:rsidRPr="009619DB">
        <w:rPr>
          <w:rFonts w:asciiTheme="minorHAnsi" w:hAnsiTheme="minorHAnsi" w:cstheme="minorHAnsi"/>
          <w:bCs/>
          <w:iCs/>
          <w:lang w:val="en-US"/>
        </w:rPr>
        <w:t xml:space="preserve"> (2015). </w:t>
      </w:r>
      <w:r w:rsidRPr="009619DB">
        <w:rPr>
          <w:rFonts w:asciiTheme="minorHAnsi" w:hAnsiTheme="minorHAnsi" w:cstheme="minorHAnsi"/>
          <w:lang w:val="en-US"/>
        </w:rPr>
        <w:t xml:space="preserve">Reactance to (or acceptance of) stereotypes: Implicit and explicit responses to group identity threat. </w:t>
      </w:r>
      <w:proofErr w:type="spellStart"/>
      <w:r w:rsidR="009619DB" w:rsidRPr="009619DB">
        <w:rPr>
          <w:rFonts w:asciiTheme="minorHAnsi" w:hAnsiTheme="minorHAnsi" w:cstheme="minorHAnsi"/>
          <w:bCs/>
          <w:i/>
          <w:iCs/>
        </w:rPr>
        <w:t>Zeitschrift</w:t>
      </w:r>
      <w:proofErr w:type="spellEnd"/>
      <w:r w:rsidR="009619DB" w:rsidRPr="009619DB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9619DB" w:rsidRPr="009619DB">
        <w:rPr>
          <w:rFonts w:asciiTheme="minorHAnsi" w:hAnsiTheme="minorHAnsi" w:cstheme="minorHAnsi"/>
          <w:bCs/>
          <w:i/>
          <w:iCs/>
        </w:rPr>
        <w:t>für</w:t>
      </w:r>
      <w:proofErr w:type="spellEnd"/>
      <w:r w:rsidR="009619DB" w:rsidRPr="009619DB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9619DB" w:rsidRPr="009619DB">
        <w:rPr>
          <w:rFonts w:asciiTheme="minorHAnsi" w:hAnsiTheme="minorHAnsi" w:cstheme="minorHAnsi"/>
          <w:bCs/>
          <w:i/>
          <w:iCs/>
        </w:rPr>
        <w:t>Psychologie</w:t>
      </w:r>
      <w:proofErr w:type="spellEnd"/>
      <w:r w:rsidR="009619DB" w:rsidRPr="009619DB">
        <w:rPr>
          <w:rFonts w:asciiTheme="minorHAnsi" w:hAnsiTheme="minorHAnsi" w:cstheme="minorHAnsi"/>
          <w:bCs/>
          <w:i/>
          <w:iCs/>
        </w:rPr>
        <w:t xml:space="preserve">, </w:t>
      </w:r>
      <w:r w:rsidRPr="009619DB">
        <w:rPr>
          <w:rFonts w:asciiTheme="minorHAnsi" w:hAnsiTheme="minorHAnsi" w:cstheme="minorHAnsi"/>
        </w:rPr>
        <w:t>223</w:t>
      </w:r>
      <w:r w:rsidR="009619DB" w:rsidRPr="009619DB">
        <w:rPr>
          <w:rFonts w:asciiTheme="minorHAnsi" w:hAnsiTheme="minorHAnsi" w:cstheme="minorHAnsi"/>
        </w:rPr>
        <w:t xml:space="preserve">, </w:t>
      </w:r>
      <w:r w:rsidRPr="009619DB">
        <w:rPr>
          <w:rFonts w:asciiTheme="minorHAnsi" w:hAnsiTheme="minorHAnsi" w:cstheme="minorHAnsi"/>
        </w:rPr>
        <w:t>236</w:t>
      </w:r>
      <w:r w:rsidR="009619DB" w:rsidRPr="009619DB">
        <w:rPr>
          <w:rFonts w:asciiTheme="minorHAnsi" w:hAnsiTheme="minorHAnsi" w:cstheme="minorHAnsi"/>
        </w:rPr>
        <w:t>-</w:t>
      </w:r>
      <w:r w:rsidRPr="009619DB">
        <w:rPr>
          <w:rFonts w:asciiTheme="minorHAnsi" w:hAnsiTheme="minorHAnsi" w:cstheme="minorHAnsi"/>
        </w:rPr>
        <w:t>247</w:t>
      </w:r>
    </w:p>
    <w:p w:rsidR="009619DB" w:rsidRPr="008C0EA9" w:rsidRDefault="009619DB" w:rsidP="009619DB">
      <w:pPr>
        <w:jc w:val="both"/>
        <w:rPr>
          <w:rFonts w:asciiTheme="minorHAnsi" w:hAnsiTheme="minorHAnsi" w:cstheme="minorHAnsi"/>
          <w:iCs/>
        </w:rPr>
      </w:pPr>
      <w:proofErr w:type="gramStart"/>
      <w:r w:rsidRPr="009619DB">
        <w:rPr>
          <w:rFonts w:asciiTheme="minorHAnsi" w:hAnsiTheme="minorHAnsi" w:cstheme="minorHAnsi"/>
          <w:b/>
          <w:iCs/>
          <w:lang w:val="en-US"/>
        </w:rPr>
        <w:t>de</w:t>
      </w:r>
      <w:proofErr w:type="gramEnd"/>
      <w:r w:rsidRPr="009619DB">
        <w:rPr>
          <w:rFonts w:asciiTheme="minorHAnsi" w:hAnsiTheme="minorHAnsi" w:cstheme="minorHAnsi"/>
          <w:b/>
          <w:iCs/>
          <w:lang w:val="en-US"/>
        </w:rPr>
        <w:t xml:space="preserve"> Lemus, S.,</w:t>
      </w:r>
      <w:r w:rsidRPr="009619DB">
        <w:rPr>
          <w:rFonts w:asciiTheme="minorHAnsi" w:hAnsiTheme="minorHAnsi" w:cstheme="minorHAnsi"/>
          <w:iCs/>
          <w:lang w:val="en-US"/>
        </w:rPr>
        <w:t xml:space="preserve"> Spears, R., Bukowski, M., Moya, M., &amp; </w:t>
      </w:r>
      <w:proofErr w:type="spellStart"/>
      <w:r w:rsidRPr="009619DB">
        <w:rPr>
          <w:rFonts w:asciiTheme="minorHAnsi" w:hAnsiTheme="minorHAnsi" w:cstheme="minorHAnsi"/>
          <w:iCs/>
          <w:lang w:val="en-US"/>
        </w:rPr>
        <w:t>Lupiáñez</w:t>
      </w:r>
      <w:proofErr w:type="spellEnd"/>
      <w:r w:rsidRPr="009619DB">
        <w:rPr>
          <w:rFonts w:asciiTheme="minorHAnsi" w:hAnsiTheme="minorHAnsi" w:cstheme="minorHAnsi"/>
          <w:iCs/>
          <w:lang w:val="en-US"/>
        </w:rPr>
        <w:t xml:space="preserve">, J. (2013). </w:t>
      </w:r>
      <w:proofErr w:type="gramStart"/>
      <w:r w:rsidRPr="009619DB">
        <w:rPr>
          <w:rFonts w:asciiTheme="minorHAnsi" w:hAnsiTheme="minorHAnsi" w:cstheme="minorHAnsi"/>
          <w:iCs/>
          <w:lang w:val="en-US"/>
        </w:rPr>
        <w:t>Reversing gender stereotypes as a function of exposure to traditional role relations.</w:t>
      </w:r>
      <w:proofErr w:type="gramEnd"/>
      <w:r w:rsidRPr="009619DB">
        <w:rPr>
          <w:rFonts w:asciiTheme="minorHAnsi" w:hAnsiTheme="minorHAnsi" w:cstheme="minorHAnsi"/>
          <w:iCs/>
          <w:lang w:val="en-US"/>
        </w:rPr>
        <w:t xml:space="preserve"> </w:t>
      </w:r>
      <w:r w:rsidRPr="008C0EA9">
        <w:rPr>
          <w:rFonts w:asciiTheme="minorHAnsi" w:hAnsiTheme="minorHAnsi" w:cstheme="minorHAnsi"/>
          <w:i/>
          <w:iCs/>
        </w:rPr>
        <w:t xml:space="preserve">Social </w:t>
      </w:r>
      <w:proofErr w:type="spellStart"/>
      <w:r w:rsidRPr="008C0EA9">
        <w:rPr>
          <w:rFonts w:asciiTheme="minorHAnsi" w:hAnsiTheme="minorHAnsi" w:cstheme="minorHAnsi"/>
          <w:i/>
          <w:iCs/>
        </w:rPr>
        <w:t>Psychology</w:t>
      </w:r>
      <w:proofErr w:type="spellEnd"/>
      <w:r w:rsidRPr="008C0EA9">
        <w:rPr>
          <w:rFonts w:asciiTheme="minorHAnsi" w:hAnsiTheme="minorHAnsi" w:cstheme="minorHAnsi"/>
          <w:i/>
          <w:iCs/>
        </w:rPr>
        <w:t>, 44,</w:t>
      </w:r>
      <w:r w:rsidRPr="008C0EA9">
        <w:rPr>
          <w:rFonts w:asciiTheme="minorHAnsi" w:hAnsiTheme="minorHAnsi" w:cstheme="minorHAnsi"/>
          <w:iCs/>
        </w:rPr>
        <w:t xml:space="preserve"> 3.</w:t>
      </w:r>
    </w:p>
    <w:p w:rsidR="00D6217B" w:rsidRDefault="00D621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619DB" w:rsidRPr="009619DB" w:rsidRDefault="009619DB" w:rsidP="00757894">
      <w:pPr>
        <w:jc w:val="both"/>
        <w:rPr>
          <w:rFonts w:asciiTheme="minorHAnsi" w:hAnsiTheme="minorHAnsi" w:cstheme="minorHAnsi"/>
        </w:rPr>
      </w:pPr>
    </w:p>
    <w:p w:rsidR="008C0EA9" w:rsidRPr="00757894" w:rsidRDefault="0098175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000000"/>
          <w:lang w:eastAsia="es-ES"/>
        </w:rPr>
      </w:pPr>
      <w:r>
        <w:rPr>
          <w:rFonts w:ascii="Times New Roman" w:hAnsi="Times New Roman"/>
          <w:b/>
          <w:color w:val="000000"/>
          <w:lang w:eastAsia="es-ES"/>
        </w:rPr>
        <w:t>Línea 2</w:t>
      </w:r>
      <w:r w:rsidR="008C0EA9" w:rsidRPr="00757894">
        <w:rPr>
          <w:rFonts w:ascii="Times New Roman" w:hAnsi="Times New Roman"/>
          <w:b/>
          <w:color w:val="000000"/>
          <w:lang w:eastAsia="es-ES"/>
        </w:rPr>
        <w:t>:</w:t>
      </w:r>
      <w:r w:rsidR="008C0EA9" w:rsidRPr="00757894">
        <w:rPr>
          <w:b/>
        </w:rPr>
        <w:t xml:space="preserve"> </w:t>
      </w:r>
      <w:r w:rsidR="008C0EA9">
        <w:rPr>
          <w:rFonts w:ascii="Times New Roman" w:hAnsi="Times New Roman"/>
          <w:b/>
          <w:color w:val="000000"/>
          <w:lang w:eastAsia="es-ES"/>
        </w:rPr>
        <w:t>Influencia del lenguaje sexista en la motivación y el desempeño escolar y laboral</w:t>
      </w:r>
    </w:p>
    <w:p w:rsidR="008C0EA9" w:rsidRDefault="008C0EA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C116B" wp14:editId="50D53CBE">
                <wp:simplePos x="0" y="0"/>
                <wp:positionH relativeFrom="column">
                  <wp:posOffset>-189589</wp:posOffset>
                </wp:positionH>
                <wp:positionV relativeFrom="paragraph">
                  <wp:posOffset>240059</wp:posOffset>
                </wp:positionV>
                <wp:extent cx="6431280" cy="2186608"/>
                <wp:effectExtent l="0" t="0" r="26670" b="23495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1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EA9" w:rsidRPr="002E6B4C" w:rsidRDefault="008C0EA9" w:rsidP="008C0EA9">
                            <w:r>
                              <w:t xml:space="preserve">Las consecuencias negativas que el sexismo tiene en la sociedad han sido ampliamente demostradas y se evidencian en indicadores específicos como la brecha de género en cuanto a salarios, la alta prevalencia de violencia de género y feminicidios, las desigualdades de género en determinados sociales, y la escasa representación de las mujeres en posiciones de alto poder y en áreas específicas como la ciencia, la tecnología e ingeniería. Estas desigualdades también se ven reflejadas en el lenguaje que empleamos para comunicarnos. </w:t>
                            </w:r>
                            <w:r w:rsidR="002E6B4C">
                              <w:t xml:space="preserve">Los estudios muestran el efecto negativo del lenguaje sexista sobre la motivación de las mujeres para solicitar un trabajo y por el contrario, el efecto positivo del lenguaje no sexistas para la percepción de eficacia </w:t>
                            </w:r>
                            <w:r w:rsidR="002E6B4C" w:rsidRPr="002E6B4C">
                              <w:t xml:space="preserve">en la infancia. </w:t>
                            </w:r>
                            <w:r w:rsidR="002E6B4C">
                              <w:t>El objetivo fundamental de esta línea será  estudiar los efectos del lenguaje sexista y no sexista sobre la motivación y el desempeño de mujeres y hombres en el ámbito escolar y laboral.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95pt;margin-top:18.9pt;width:506.4pt;height:1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FTMwIAAF8EAAAOAAAAZHJzL2Uyb0RvYy54bWysVNtu2zAMfR+wfxD0vjhxkyw16hRdug4D&#10;ugvQ7QMUSY6FyaJGKbG7rx8lp1l2exnmB0EUqSPyHNJX10Nn2UFjMOBqPptMOdNOgjJuV/PPn+5e&#10;rDgLUTglLDhd80cd+PX6+bOr3le6hBas0sgIxIWq9zVvY/RVUQTZ6k6ECXjtyNkAdiKSibtCoegJ&#10;vbNFOZ0uix5QeQSpQ6DT29HJ1xm/abSMH5om6MhszSm3mFfM6zatxfpKVDsUvjXymIb4hyw6YRw9&#10;eoK6FVGwPZrfoDojEQI0cSKhK6BpjNS5BqpmNv2lmodWeJ1rIXKCP9EU/h+sfH/4iMyoml9w5kRH&#10;Em32QiEwpVnUQwQ2SyT1PlQU++ApOg6vYCCxc8HB34P8EpiDTSvcTt8gQt9qoSjJfLM4uzrihASy&#10;7d+BotfEPkIGGhrsEoPECSN0EuvxJBDlwSQdLucXs3JFLkm+crZaLqerlF0hqqfrHkN8o6FjaVNz&#10;pA7I8OJwH+IY+hSSXgtgjboz1mYDd9uNRXYQ1C13+Tui/xRmHetrfrkoFyMDf4WY5u9PEJ2J1PbW&#10;dDVfnYJElXh77VRuyiiMHfdUnXVUZCIycTeyGIftkIUrn/TZgnokZhHGLqeppE0L+I2znjq85uHr&#10;XqDmzL51pM7lbD5PI5GN+eJlSQaee7bnHuEkQdU8cjZuN3Eco71Hs2vppbEfHNyQoo3JXKeMx6yO&#10;6VMXZ7WOE5fG5NzOUT/+C+vvAAAA//8DAFBLAwQUAAYACAAAACEAA1v90t8AAAAKAQAADwAAAGRy&#10;cy9kb3ducmV2LnhtbEyPy07DMBBF90j8gzVIbFDrNEVtksapEBIIdlAQ3brJNImwx8F20/D3DCtY&#10;zp2j+yi3kzViRB96RwoW8wQEUu2anloF728PswxEiJoabRyhgm8MsK0uL0pdNO5MrzjuYivYhEKh&#10;FXQxDoWUoe7Q6jB3AxL/js5bHfn0rWy8PrO5NTJNkpW0uidO6PSA9x3Wn7uTVZDdPo378Lx8+ahX&#10;R5PHm/X4+OWVur6a7jYgIk7xD4bf+lwdKu50cCdqgjAKZmmeM6pgueYJDORZysKBhSxdgKxK+X9C&#10;9QMAAP//AwBQSwECLQAUAAYACAAAACEAtoM4kv4AAADhAQAAEwAAAAAAAAAAAAAAAAAAAAAAW0Nv&#10;bnRlbnRfVHlwZXNdLnhtbFBLAQItABQABgAIAAAAIQA4/SH/1gAAAJQBAAALAAAAAAAAAAAAAAAA&#10;AC8BAABfcmVscy8ucmVsc1BLAQItABQABgAIAAAAIQD0UlFTMwIAAF8EAAAOAAAAAAAAAAAAAAAA&#10;AC4CAABkcnMvZTJvRG9jLnhtbFBLAQItABQABgAIAAAAIQADW/3S3wAAAAoBAAAPAAAAAAAAAAAA&#10;AAAAAI0EAABkcnMvZG93bnJldi54bWxQSwUGAAAAAAQABADzAAAAmQUAAAAA&#10;">
                <v:textbox>
                  <w:txbxContent>
                    <w:p w:rsidR="008C0EA9" w:rsidRPr="002E6B4C" w:rsidRDefault="008C0EA9" w:rsidP="008C0EA9">
                      <w:r>
                        <w:t xml:space="preserve">Las consecuencias negativas que el sexismo tiene en la sociedad han sido ampliamente demostradas y se evidencian en indicadores específicos como la brecha de género en cuanto a salarios, la alta prevalencia de violencia de género y feminicidios, las desigualdades de género en determinados sociales, y la escasa representación de las mujeres en posiciones de alto poder y en áreas específicas como la ciencia, la tecnología e ingeniería. Estas desigualdades también se ven reflejadas en el lenguaje que empleamos para comunicarnos. </w:t>
                      </w:r>
                      <w:r w:rsidR="002E6B4C">
                        <w:t xml:space="preserve">Los estudios muestran el efecto negativo del lenguaje sexista sobre la motivación de las mujeres para solicitar un trabajo y por el contrario, el efecto positivo del lenguaje no sexistas para la percepción de eficacia </w:t>
                      </w:r>
                      <w:r w:rsidR="002E6B4C" w:rsidRPr="002E6B4C">
                        <w:t xml:space="preserve">en la infancia. </w:t>
                      </w:r>
                      <w:r w:rsidR="002E6B4C">
                        <w:t>El objetivo fundamental de esta línea será  estudiar</w:t>
                      </w:r>
                      <w:r w:rsidR="002E6B4C">
                        <w:t xml:space="preserve"> los efectos del lenguaje sexista y no sexista sobre la motivación y el desempeño de mujeres y hombres en el ámbito escolar y laboral.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lang w:eastAsia="es-ES"/>
        </w:rPr>
        <w:t>Breve descripción (No más de 150 palabras):</w:t>
      </w:r>
    </w:p>
    <w:p w:rsidR="008C0EA9" w:rsidRDefault="008C0EA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8C0EA9" w:rsidRDefault="008C0EA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8C0EA9" w:rsidRDefault="008C0EA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8C0EA9" w:rsidRDefault="008C0EA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8C0EA9" w:rsidRDefault="008C0EA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8C0EA9" w:rsidRDefault="008C0EA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color w:val="000000"/>
          <w:lang w:eastAsia="es-ES"/>
        </w:rPr>
        <w:t xml:space="preserve">Bibliografía de interés: </w:t>
      </w:r>
    </w:p>
    <w:p w:rsidR="008C0EA9" w:rsidRDefault="008C0EA9" w:rsidP="008C0EA9"/>
    <w:p w:rsidR="008C0EA9" w:rsidRDefault="008C0EA9" w:rsidP="008C0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color w:val="000000"/>
          <w:lang w:eastAsia="es-ES"/>
        </w:rPr>
        <w:t xml:space="preserve">Bibliografía de interés: </w:t>
      </w:r>
    </w:p>
    <w:p w:rsidR="002E6B4C" w:rsidRPr="00981759" w:rsidRDefault="002E6B4C" w:rsidP="00ED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 w:eastAsia="es-ES"/>
        </w:rPr>
      </w:pPr>
      <w:proofErr w:type="gramStart"/>
      <w:r w:rsidRPr="002E6B4C">
        <w:rPr>
          <w:rFonts w:ascii="Times New Roman" w:hAnsi="Times New Roman"/>
          <w:color w:val="000000"/>
          <w:lang w:val="en-US" w:eastAsia="es-ES"/>
        </w:rPr>
        <w:t xml:space="preserve">Stout, J. G., and </w:t>
      </w:r>
      <w:proofErr w:type="spellStart"/>
      <w:r w:rsidRPr="002E6B4C">
        <w:rPr>
          <w:rFonts w:ascii="Times New Roman" w:hAnsi="Times New Roman"/>
          <w:color w:val="000000"/>
          <w:lang w:val="en-US" w:eastAsia="es-ES"/>
        </w:rPr>
        <w:t>Dasgupta</w:t>
      </w:r>
      <w:proofErr w:type="spellEnd"/>
      <w:r w:rsidRPr="002E6B4C">
        <w:rPr>
          <w:rFonts w:ascii="Times New Roman" w:hAnsi="Times New Roman"/>
          <w:color w:val="000000"/>
          <w:lang w:val="en-US" w:eastAsia="es-ES"/>
        </w:rPr>
        <w:t>, N. (2011).</w:t>
      </w:r>
      <w:proofErr w:type="gramEnd"/>
      <w:r w:rsidRPr="002E6B4C">
        <w:rPr>
          <w:rFonts w:ascii="Times New Roman" w:hAnsi="Times New Roman"/>
          <w:color w:val="000000"/>
          <w:lang w:val="en-US" w:eastAsia="es-ES"/>
        </w:rPr>
        <w:t xml:space="preserve"> </w:t>
      </w:r>
      <w:proofErr w:type="gramStart"/>
      <w:r w:rsidRPr="002E6B4C">
        <w:rPr>
          <w:rFonts w:ascii="Times New Roman" w:hAnsi="Times New Roman"/>
          <w:color w:val="000000"/>
          <w:lang w:val="en-US" w:eastAsia="es-ES"/>
        </w:rPr>
        <w:t>When he doesn’t mean you: gender-exclusive language as ostracism.</w:t>
      </w:r>
      <w:proofErr w:type="gramEnd"/>
      <w:r w:rsidRPr="002E6B4C">
        <w:rPr>
          <w:rFonts w:ascii="Times New Roman" w:hAnsi="Times New Roman"/>
          <w:color w:val="000000"/>
          <w:lang w:val="en-US" w:eastAsia="es-ES"/>
        </w:rPr>
        <w:t xml:space="preserve"> </w:t>
      </w:r>
      <w:r w:rsidRPr="00981759">
        <w:rPr>
          <w:rFonts w:ascii="Times New Roman" w:hAnsi="Times New Roman"/>
          <w:color w:val="000000"/>
          <w:lang w:val="en-US" w:eastAsia="es-ES"/>
        </w:rPr>
        <w:t xml:space="preserve">Pers. Soc. Psychol. Bull. 3, 757–769. </w:t>
      </w:r>
      <w:proofErr w:type="spellStart"/>
      <w:proofErr w:type="gramStart"/>
      <w:r w:rsidRPr="00981759">
        <w:rPr>
          <w:rFonts w:ascii="Times New Roman" w:hAnsi="Times New Roman"/>
          <w:color w:val="000000"/>
          <w:lang w:val="en-US" w:eastAsia="es-ES"/>
        </w:rPr>
        <w:t>doi</w:t>
      </w:r>
      <w:proofErr w:type="spellEnd"/>
      <w:proofErr w:type="gramEnd"/>
      <w:r w:rsidRPr="00981759">
        <w:rPr>
          <w:rFonts w:ascii="Times New Roman" w:hAnsi="Times New Roman"/>
          <w:color w:val="000000"/>
          <w:lang w:val="en-US" w:eastAsia="es-ES"/>
        </w:rPr>
        <w:t>: 10.1177/0146167211406434</w:t>
      </w:r>
    </w:p>
    <w:p w:rsidR="002E6B4C" w:rsidRDefault="002E6B4C" w:rsidP="00ED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 w:eastAsia="es-ES"/>
        </w:rPr>
      </w:pPr>
    </w:p>
    <w:p w:rsidR="00ED1970" w:rsidRDefault="002E6B4C" w:rsidP="00ED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 w:eastAsia="es-ES"/>
        </w:rPr>
      </w:pPr>
      <w:proofErr w:type="spellStart"/>
      <w:proofErr w:type="gramStart"/>
      <w:r w:rsidRPr="002E6B4C">
        <w:rPr>
          <w:rFonts w:ascii="Times New Roman" w:hAnsi="Times New Roman"/>
          <w:color w:val="000000"/>
          <w:lang w:val="en-US" w:eastAsia="es-ES"/>
        </w:rPr>
        <w:t>Sczesny</w:t>
      </w:r>
      <w:proofErr w:type="spellEnd"/>
      <w:r>
        <w:rPr>
          <w:rFonts w:ascii="Times New Roman" w:hAnsi="Times New Roman"/>
          <w:color w:val="000000"/>
          <w:lang w:val="en-US" w:eastAsia="es-ES"/>
        </w:rPr>
        <w:t>,</w:t>
      </w:r>
      <w:r w:rsidRPr="002E6B4C">
        <w:rPr>
          <w:rFonts w:ascii="Times New Roman" w:hAnsi="Times New Roman"/>
          <w:color w:val="000000"/>
          <w:lang w:val="en-US" w:eastAsia="es-ES"/>
        </w:rPr>
        <w:t xml:space="preserve"> S</w:t>
      </w:r>
      <w:r>
        <w:rPr>
          <w:rFonts w:ascii="Times New Roman" w:hAnsi="Times New Roman"/>
          <w:color w:val="000000"/>
          <w:lang w:val="en-US" w:eastAsia="es-ES"/>
        </w:rPr>
        <w:t>.</w:t>
      </w:r>
      <w:r w:rsidRPr="002E6B4C">
        <w:rPr>
          <w:rFonts w:ascii="Times New Roman" w:hAnsi="Times New Roman"/>
          <w:color w:val="000000"/>
          <w:lang w:val="en-US" w:eastAsia="es-ES"/>
        </w:rPr>
        <w:t xml:space="preserve">, </w:t>
      </w:r>
      <w:proofErr w:type="spellStart"/>
      <w:r w:rsidRPr="002E6B4C">
        <w:rPr>
          <w:rFonts w:ascii="Times New Roman" w:hAnsi="Times New Roman"/>
          <w:color w:val="000000"/>
          <w:lang w:val="en-US" w:eastAsia="es-ES"/>
        </w:rPr>
        <w:t>Formanowicz</w:t>
      </w:r>
      <w:proofErr w:type="spellEnd"/>
      <w:r>
        <w:rPr>
          <w:rFonts w:ascii="Times New Roman" w:hAnsi="Times New Roman"/>
          <w:color w:val="000000"/>
          <w:lang w:val="en-US" w:eastAsia="es-ES"/>
        </w:rPr>
        <w:t>,</w:t>
      </w:r>
      <w:r w:rsidRPr="002E6B4C">
        <w:rPr>
          <w:rFonts w:ascii="Times New Roman" w:hAnsi="Times New Roman"/>
          <w:color w:val="000000"/>
          <w:lang w:val="en-US" w:eastAsia="es-ES"/>
        </w:rPr>
        <w:t xml:space="preserve"> M</w:t>
      </w:r>
      <w:r>
        <w:rPr>
          <w:rFonts w:ascii="Times New Roman" w:hAnsi="Times New Roman"/>
          <w:color w:val="000000"/>
          <w:lang w:val="en-US" w:eastAsia="es-ES"/>
        </w:rPr>
        <w:t>.</w:t>
      </w:r>
      <w:r w:rsidRPr="002E6B4C">
        <w:rPr>
          <w:rFonts w:ascii="Times New Roman" w:hAnsi="Times New Roman"/>
          <w:color w:val="000000"/>
          <w:lang w:val="en-US" w:eastAsia="es-ES"/>
        </w:rPr>
        <w:t xml:space="preserve">, </w:t>
      </w:r>
      <w:r>
        <w:rPr>
          <w:rFonts w:ascii="Times New Roman" w:hAnsi="Times New Roman"/>
          <w:color w:val="000000"/>
          <w:lang w:val="en-US" w:eastAsia="es-ES"/>
        </w:rPr>
        <w:t xml:space="preserve">&amp; </w:t>
      </w:r>
      <w:r w:rsidRPr="002E6B4C">
        <w:rPr>
          <w:rFonts w:ascii="Times New Roman" w:hAnsi="Times New Roman"/>
          <w:color w:val="000000"/>
          <w:lang w:val="en-US" w:eastAsia="es-ES"/>
        </w:rPr>
        <w:t>Moser</w:t>
      </w:r>
      <w:r>
        <w:rPr>
          <w:rFonts w:ascii="Times New Roman" w:hAnsi="Times New Roman"/>
          <w:color w:val="000000"/>
          <w:lang w:val="en-US" w:eastAsia="es-ES"/>
        </w:rPr>
        <w:t>,</w:t>
      </w:r>
      <w:r w:rsidRPr="002E6B4C">
        <w:rPr>
          <w:rFonts w:ascii="Times New Roman" w:hAnsi="Times New Roman"/>
          <w:color w:val="000000"/>
          <w:lang w:val="en-US" w:eastAsia="es-ES"/>
        </w:rPr>
        <w:t xml:space="preserve"> F</w:t>
      </w:r>
      <w:r>
        <w:rPr>
          <w:rFonts w:ascii="Times New Roman" w:hAnsi="Times New Roman"/>
          <w:color w:val="000000"/>
          <w:lang w:val="en-US" w:eastAsia="es-ES"/>
        </w:rPr>
        <w:t>. (2016).</w:t>
      </w:r>
      <w:proofErr w:type="gramEnd"/>
      <w:r>
        <w:rPr>
          <w:rFonts w:ascii="Times New Roman" w:hAnsi="Times New Roman"/>
          <w:color w:val="000000"/>
          <w:lang w:val="en-US" w:eastAsia="es-ES"/>
        </w:rPr>
        <w:t xml:space="preserve"> </w:t>
      </w:r>
      <w:r w:rsidRPr="002E6B4C">
        <w:rPr>
          <w:rFonts w:ascii="Times New Roman" w:hAnsi="Times New Roman"/>
          <w:color w:val="000000"/>
          <w:lang w:val="en-US" w:eastAsia="es-ES"/>
        </w:rPr>
        <w:t>Can Gender-Fair Language Reduce Gender S</w:t>
      </w:r>
      <w:r>
        <w:rPr>
          <w:rFonts w:ascii="Times New Roman" w:hAnsi="Times New Roman"/>
          <w:color w:val="000000"/>
          <w:lang w:val="en-US" w:eastAsia="es-ES"/>
        </w:rPr>
        <w:t>tereotyping and Discrimination?</w:t>
      </w:r>
      <w:r w:rsidRPr="002E6B4C">
        <w:rPr>
          <w:rFonts w:ascii="Times New Roman" w:hAnsi="Times New Roman"/>
          <w:color w:val="000000"/>
          <w:lang w:val="en-US" w:eastAsia="es-ES"/>
        </w:rPr>
        <w:t xml:space="preserve"> Frontiers in Psychology</w:t>
      </w:r>
      <w:r>
        <w:rPr>
          <w:rFonts w:ascii="Times New Roman" w:hAnsi="Times New Roman"/>
          <w:color w:val="000000"/>
          <w:lang w:val="en-US" w:eastAsia="es-ES"/>
        </w:rPr>
        <w:t xml:space="preserve">, 7 </w:t>
      </w:r>
    </w:p>
    <w:p w:rsidR="002E6B4C" w:rsidRDefault="00981759" w:rsidP="00ED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 w:eastAsia="es-ES"/>
        </w:rPr>
      </w:pPr>
      <w:hyperlink r:id="rId7" w:history="1">
        <w:r w:rsidR="00ED1970" w:rsidRPr="00FE1F24">
          <w:rPr>
            <w:rStyle w:val="Hipervnculo"/>
            <w:rFonts w:ascii="Times New Roman" w:hAnsi="Times New Roman"/>
            <w:lang w:val="en-US" w:eastAsia="es-ES"/>
          </w:rPr>
          <w:t>http://journal.frontiersin.org/article/10.3389/fpsyg.2016.00025</w:t>
        </w:r>
      </w:hyperlink>
    </w:p>
    <w:p w:rsidR="00ED1970" w:rsidRDefault="00ED1970" w:rsidP="00ED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en-US" w:eastAsia="es-ES"/>
        </w:rPr>
      </w:pPr>
    </w:p>
    <w:p w:rsidR="002E6B4C" w:rsidRDefault="00ED1970" w:rsidP="00ED1970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ED1970">
        <w:rPr>
          <w:lang w:val="en-US"/>
        </w:rPr>
        <w:t>Vervecken</w:t>
      </w:r>
      <w:proofErr w:type="spellEnd"/>
      <w:r w:rsidRPr="00ED1970">
        <w:rPr>
          <w:lang w:val="en-US"/>
        </w:rPr>
        <w:t>, D., and Hannover, B. (2015).</w:t>
      </w:r>
      <w:proofErr w:type="gramEnd"/>
      <w:r w:rsidRPr="00ED1970">
        <w:rPr>
          <w:lang w:val="en-US"/>
        </w:rPr>
        <w:t xml:space="preserve"> Yes I can! Effects of gender fair job descriptions on children’s perceptions of job status, job difficulty, and vocational self-efficacy. </w:t>
      </w:r>
      <w:r>
        <w:rPr>
          <w:i/>
          <w:iCs/>
        </w:rPr>
        <w:t xml:space="preserve">Soc. </w:t>
      </w:r>
      <w:proofErr w:type="spellStart"/>
      <w:r>
        <w:rPr>
          <w:i/>
          <w:iCs/>
        </w:rPr>
        <w:t>Psychol</w:t>
      </w:r>
      <w:proofErr w:type="spellEnd"/>
      <w:r>
        <w:rPr>
          <w:i/>
          <w:iCs/>
        </w:rPr>
        <w:t>.</w:t>
      </w:r>
      <w:r>
        <w:t xml:space="preserve"> 46, 76–92. </w:t>
      </w:r>
      <w:proofErr w:type="spellStart"/>
      <w:proofErr w:type="gramStart"/>
      <w:r>
        <w:t>doi</w:t>
      </w:r>
      <w:proofErr w:type="spellEnd"/>
      <w:proofErr w:type="gramEnd"/>
      <w:r>
        <w:t>: 10.1027/1864-9335/a000229</w:t>
      </w:r>
    </w:p>
    <w:p w:rsidR="00ED1970" w:rsidRPr="00981759" w:rsidRDefault="00ED1970" w:rsidP="00ED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2E6B4C" w:rsidRPr="006D10D3" w:rsidRDefault="002E6B4C" w:rsidP="002E6B4C">
      <w:pPr>
        <w:jc w:val="both"/>
        <w:rPr>
          <w:rFonts w:cstheme="minorHAnsi"/>
          <w:lang w:val="en-US"/>
        </w:rPr>
      </w:pPr>
      <w:proofErr w:type="gramStart"/>
      <w:r w:rsidRPr="002E6B4C">
        <w:rPr>
          <w:rFonts w:cstheme="minorHAnsi"/>
          <w:b/>
        </w:rPr>
        <w:t>de</w:t>
      </w:r>
      <w:proofErr w:type="gramEnd"/>
      <w:r w:rsidRPr="002E6B4C">
        <w:rPr>
          <w:rFonts w:cstheme="minorHAnsi"/>
          <w:b/>
        </w:rPr>
        <w:t xml:space="preserve"> Lemus, S.</w:t>
      </w:r>
      <w:r w:rsidRPr="002E6B4C">
        <w:rPr>
          <w:rFonts w:cstheme="minorHAnsi"/>
        </w:rPr>
        <w:t xml:space="preserve">, Montañés, P., </w:t>
      </w:r>
      <w:proofErr w:type="spellStart"/>
      <w:r w:rsidRPr="002E6B4C">
        <w:rPr>
          <w:rFonts w:cstheme="minorHAnsi"/>
        </w:rPr>
        <w:t>Megías</w:t>
      </w:r>
      <w:proofErr w:type="spellEnd"/>
      <w:r w:rsidRPr="002E6B4C">
        <w:rPr>
          <w:rFonts w:cstheme="minorHAnsi"/>
        </w:rPr>
        <w:t xml:space="preserve">, J. L., &amp; Moya, M. (2015). </w:t>
      </w:r>
      <w:r w:rsidRPr="006D10D3">
        <w:rPr>
          <w:rFonts w:cstheme="minorHAnsi"/>
          <w:lang w:val="en-US"/>
        </w:rPr>
        <w:t>Development of gender prejudice from childhood to adulthood: a Spanish perspective</w:t>
      </w:r>
      <w:r>
        <w:rPr>
          <w:rFonts w:cstheme="minorHAnsi"/>
          <w:lang w:val="en-US"/>
        </w:rPr>
        <w:t>.</w:t>
      </w:r>
      <w:r w:rsidRPr="006D10D3">
        <w:rPr>
          <w:rFonts w:cstheme="minorHAnsi"/>
          <w:b/>
          <w:lang w:val="en-US"/>
        </w:rPr>
        <w:t xml:space="preserve"> </w:t>
      </w:r>
      <w:r w:rsidRPr="006D10D3">
        <w:rPr>
          <w:rFonts w:cstheme="minorHAnsi"/>
          <w:lang w:val="en-US"/>
        </w:rPr>
        <w:t xml:space="preserve">In S. </w:t>
      </w:r>
      <w:proofErr w:type="spellStart"/>
      <w:r w:rsidRPr="006D10D3">
        <w:rPr>
          <w:rFonts w:cstheme="minorHAnsi"/>
          <w:lang w:val="en-US"/>
        </w:rPr>
        <w:t>Safdar</w:t>
      </w:r>
      <w:proofErr w:type="spellEnd"/>
      <w:r w:rsidRPr="006D10D3">
        <w:rPr>
          <w:rFonts w:cstheme="minorHAnsi"/>
          <w:lang w:val="en-US"/>
        </w:rPr>
        <w:t xml:space="preserve"> &amp; N. </w:t>
      </w:r>
      <w:proofErr w:type="spellStart"/>
      <w:r w:rsidRPr="006D10D3">
        <w:rPr>
          <w:rFonts w:cstheme="minorHAnsi"/>
          <w:lang w:val="en-US"/>
        </w:rPr>
        <w:t>Kosakowska</w:t>
      </w:r>
      <w:proofErr w:type="spellEnd"/>
      <w:r w:rsidRPr="006D10D3">
        <w:rPr>
          <w:rFonts w:cstheme="minorHAnsi"/>
          <w:lang w:val="en-US"/>
        </w:rPr>
        <w:t xml:space="preserve"> (Eds.), </w:t>
      </w:r>
      <w:proofErr w:type="gramStart"/>
      <w:r w:rsidRPr="006D10D3">
        <w:rPr>
          <w:rFonts w:cstheme="minorHAnsi"/>
          <w:i/>
          <w:lang w:val="en-US"/>
        </w:rPr>
        <w:t>The</w:t>
      </w:r>
      <w:proofErr w:type="gramEnd"/>
      <w:r w:rsidRPr="006D10D3">
        <w:rPr>
          <w:rFonts w:cstheme="minorHAnsi"/>
          <w:i/>
          <w:lang w:val="en-US"/>
        </w:rPr>
        <w:t xml:space="preserve"> Psychology of Gender and Culture</w:t>
      </w:r>
      <w:r w:rsidRPr="006D10D3">
        <w:rPr>
          <w:rFonts w:cstheme="minorHAnsi"/>
          <w:lang w:val="en-US"/>
        </w:rPr>
        <w:t xml:space="preserve">. </w:t>
      </w:r>
      <w:proofErr w:type="gramStart"/>
      <w:r w:rsidRPr="006D10D3">
        <w:rPr>
          <w:rFonts w:cstheme="minorHAnsi"/>
          <w:lang w:val="en-US"/>
        </w:rPr>
        <w:t>Springer.</w:t>
      </w:r>
      <w:proofErr w:type="gramEnd"/>
    </w:p>
    <w:p w:rsidR="002E6B4C" w:rsidRPr="002E6B4C" w:rsidRDefault="002E6B4C" w:rsidP="002E6B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val="en-US" w:eastAsia="es-ES"/>
        </w:rPr>
      </w:pPr>
    </w:p>
    <w:p w:rsidR="002E6B4C" w:rsidRPr="002E6B4C" w:rsidRDefault="002E6B4C" w:rsidP="002E6B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val="en-US" w:eastAsia="es-ES"/>
        </w:rPr>
      </w:pPr>
      <w:r w:rsidRPr="002E6B4C">
        <w:rPr>
          <w:rFonts w:ascii="Times New Roman" w:hAnsi="Times New Roman"/>
          <w:color w:val="000000"/>
          <w:lang w:val="en-US" w:eastAsia="es-ES"/>
        </w:rPr>
        <w:tab/>
        <w:t xml:space="preserve">  </w:t>
      </w:r>
    </w:p>
    <w:p w:rsidR="002E6B4C" w:rsidRPr="002E6B4C" w:rsidRDefault="002E6B4C" w:rsidP="002E6B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val="en-US" w:eastAsia="es-ES"/>
        </w:rPr>
      </w:pPr>
    </w:p>
    <w:sectPr w:rsidR="002E6B4C" w:rsidRPr="002E6B4C" w:rsidSect="00E06BE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5C3"/>
    <w:multiLevelType w:val="hybridMultilevel"/>
    <w:tmpl w:val="05D87D70"/>
    <w:lvl w:ilvl="0" w:tplc="C1FA4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E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C2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44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23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C7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E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05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F52604"/>
    <w:multiLevelType w:val="hybridMultilevel"/>
    <w:tmpl w:val="33862BE6"/>
    <w:lvl w:ilvl="0" w:tplc="90823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EA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C5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00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0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A3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2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A9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D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CC"/>
    <w:rsid w:val="000D7172"/>
    <w:rsid w:val="002E6B4C"/>
    <w:rsid w:val="005E05D5"/>
    <w:rsid w:val="00654022"/>
    <w:rsid w:val="006C185D"/>
    <w:rsid w:val="00757894"/>
    <w:rsid w:val="008B162F"/>
    <w:rsid w:val="008C0EA9"/>
    <w:rsid w:val="009619DB"/>
    <w:rsid w:val="00981759"/>
    <w:rsid w:val="00991525"/>
    <w:rsid w:val="00A77668"/>
    <w:rsid w:val="00AC6147"/>
    <w:rsid w:val="00CE0015"/>
    <w:rsid w:val="00D6217B"/>
    <w:rsid w:val="00DE66ED"/>
    <w:rsid w:val="00E770CC"/>
    <w:rsid w:val="00E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0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70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0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0C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0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0C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0C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0E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0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70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0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0C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0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0C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0C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0E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ournal.frontiersin.org/article/10.3389/fpsyg.2016.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d-gepopre.ugr.es/~slemus/datos_persona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 Lemus</dc:creator>
  <cp:lastModifiedBy>Sole Lemus</cp:lastModifiedBy>
  <cp:revision>6</cp:revision>
  <dcterms:created xsi:type="dcterms:W3CDTF">2016-11-10T10:54:00Z</dcterms:created>
  <dcterms:modified xsi:type="dcterms:W3CDTF">2016-11-10T12:57:00Z</dcterms:modified>
</cp:coreProperties>
</file>