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424" w:rsidRDefault="0045199F">
      <w:r>
        <w:rPr>
          <w:noProof/>
        </w:rPr>
        <w:pict>
          <v:shapetype id="_x0000_t202" coordsize="21600,21600" o:spt="202" path="m,l,21600r21600,l21600,xe">
            <v:stroke joinstyle="miter"/>
            <v:path gradientshapeok="t" o:connecttype="rect"/>
          </v:shapetype>
          <v:shape id="_x0000_s1028" type="#_x0000_t202" style="position:absolute;margin-left:-36pt;margin-top:0;width:396pt;height:18pt;z-index:251658752" filled="f" stroked="f">
            <v:textbox style="mso-next-textbox:#_x0000_s1028" inset="0,0,0,0">
              <w:txbxContent>
                <w:p w:rsidR="00BC60F2" w:rsidRPr="00673C93" w:rsidRDefault="00BC60F2" w:rsidP="006F2424">
                  <w:pPr>
                    <w:spacing w:line="280" w:lineRule="exact"/>
                    <w:rPr>
                      <w:rFonts w:ascii="TradeGothic LT" w:hAnsi="TradeGothic LT"/>
                      <w:spacing w:val="-8"/>
                      <w:sz w:val="18"/>
                      <w:szCs w:val="18"/>
                    </w:rPr>
                  </w:pPr>
                  <w:r>
                    <w:rPr>
                      <w:rFonts w:ascii="TradeGothic LT" w:hAnsi="TradeGothic LT"/>
                      <w:spacing w:val="-8"/>
                      <w:sz w:val="18"/>
                      <w:szCs w:val="18"/>
                    </w:rPr>
                    <w:t>GUIA DOCENTE</w:t>
                  </w:r>
                  <w:r w:rsidRPr="00673C93">
                    <w:rPr>
                      <w:rFonts w:ascii="TradeGothic LT" w:hAnsi="TradeGothic LT"/>
                      <w:spacing w:val="-8"/>
                      <w:sz w:val="18"/>
                      <w:szCs w:val="18"/>
                    </w:rPr>
                    <w:t xml:space="preserve"> DE LA </w:t>
                  </w:r>
                  <w:r>
                    <w:rPr>
                      <w:rFonts w:ascii="TradeGothic LT" w:hAnsi="TradeGothic LT"/>
                      <w:spacing w:val="-8"/>
                      <w:sz w:val="18"/>
                      <w:szCs w:val="18"/>
                    </w:rPr>
                    <w:t>ASIGNATURA</w:t>
                  </w:r>
                </w:p>
                <w:p w:rsidR="00BC60F2" w:rsidRDefault="00BC60F2" w:rsidP="006F2424">
                  <w:pPr>
                    <w:spacing w:line="600" w:lineRule="exact"/>
                    <w:rPr>
                      <w:rFonts w:ascii="TradeGothic LT" w:hAnsi="TradeGothic LT"/>
                      <w:sz w:val="32"/>
                      <w:szCs w:val="32"/>
                    </w:rPr>
                  </w:pPr>
                </w:p>
                <w:p w:rsidR="00BC60F2" w:rsidRDefault="00BC60F2" w:rsidP="006F2424"/>
              </w:txbxContent>
            </v:textbox>
          </v:shape>
        </w:pict>
      </w:r>
      <w:r w:rsidRPr="0045199F">
        <w:rPr>
          <w:rFonts w:ascii="TradeGothic LT Bold" w:hAnsi="TradeGothic LT Bold"/>
          <w:noProof/>
          <w:sz w:val="16"/>
          <w:szCs w:val="16"/>
        </w:rPr>
        <w:pict>
          <v:shape id="_x0000_s1038" type="#_x0000_t202" style="position:absolute;margin-left:-36pt;margin-top:18pt;width:396pt;height:36pt;z-index:251657728" filled="f" stroked="f">
            <v:textbox style="mso-next-textbox:#_x0000_s1038" inset="0,0,0,0">
              <w:txbxContent>
                <w:p w:rsidR="00BC60F2" w:rsidRPr="00CB0A2F" w:rsidRDefault="00CD6B36">
                  <w:pPr>
                    <w:rPr>
                      <w:b/>
                      <w:color w:val="FF0000"/>
                    </w:rPr>
                  </w:pPr>
                  <w:r w:rsidRPr="00CD6B36">
                    <w:rPr>
                      <w:b/>
                      <w:color w:val="FF0000"/>
                    </w:rPr>
                    <w:t>IGUALDAD Y NO DISCRIMINACIÓN</w:t>
                  </w:r>
                </w:p>
              </w:txbxContent>
            </v:textbox>
          </v:shape>
        </w:pict>
      </w:r>
    </w:p>
    <w:p w:rsidR="006F2424" w:rsidRDefault="006F2424"/>
    <w:p w:rsidR="00E53273" w:rsidRDefault="00E53273"/>
    <w:p w:rsidR="00BB75DE" w:rsidRDefault="0045199F">
      <w:r w:rsidRPr="0045199F">
        <w:rPr>
          <w:noProof/>
          <w:color w:val="FF0000"/>
        </w:rPr>
        <w:pict>
          <v:line id="_x0000_s1031" style="position:absolute;z-index:251656704" from="-36pt,7.05pt" to="468pt,7.05pt" strokecolor="red" strokeweight="1pt"/>
        </w:pict>
      </w:r>
    </w:p>
    <w:p w:rsidR="00BB75DE" w:rsidRDefault="00BB75DE"/>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tblPr>
      <w:tblGrid>
        <w:gridCol w:w="1679"/>
        <w:gridCol w:w="1701"/>
        <w:gridCol w:w="2187"/>
        <w:gridCol w:w="680"/>
        <w:gridCol w:w="960"/>
        <w:gridCol w:w="1276"/>
        <w:gridCol w:w="1705"/>
      </w:tblGrid>
      <w:tr w:rsidR="00FD59CD" w:rsidTr="00192D91">
        <w:tc>
          <w:tcPr>
            <w:tcW w:w="1679" w:type="dxa"/>
            <w:vAlign w:val="center"/>
          </w:tcPr>
          <w:p w:rsidR="00FD59CD" w:rsidRDefault="00FD59CD" w:rsidP="00192D91">
            <w:pPr>
              <w:jc w:val="center"/>
            </w:pPr>
            <w:r w:rsidRPr="00192D91">
              <w:rPr>
                <w:rFonts w:ascii="TradeGothic LT Bold" w:hAnsi="TradeGothic LT Bold"/>
                <w:sz w:val="20"/>
                <w:szCs w:val="20"/>
              </w:rPr>
              <w:t>MÓDULO</w:t>
            </w:r>
          </w:p>
        </w:tc>
        <w:tc>
          <w:tcPr>
            <w:tcW w:w="1701" w:type="dxa"/>
            <w:vAlign w:val="center"/>
          </w:tcPr>
          <w:p w:rsidR="00FD59CD" w:rsidRDefault="00FD59CD" w:rsidP="00192D91">
            <w:pPr>
              <w:jc w:val="center"/>
            </w:pPr>
            <w:r w:rsidRPr="00192D91">
              <w:rPr>
                <w:rFonts w:ascii="TradeGothic LT Bold" w:hAnsi="TradeGothic LT Bold"/>
                <w:sz w:val="20"/>
                <w:szCs w:val="20"/>
              </w:rPr>
              <w:t>MATERIA</w:t>
            </w:r>
          </w:p>
        </w:tc>
        <w:tc>
          <w:tcPr>
            <w:tcW w:w="2187" w:type="dxa"/>
            <w:vAlign w:val="center"/>
          </w:tcPr>
          <w:p w:rsidR="00FD59CD" w:rsidRDefault="00FD59CD" w:rsidP="00192D91">
            <w:pPr>
              <w:jc w:val="center"/>
            </w:pPr>
            <w:r w:rsidRPr="00192D91">
              <w:rPr>
                <w:rFonts w:ascii="TradeGothic LT Bold" w:hAnsi="TradeGothic LT Bold"/>
                <w:sz w:val="20"/>
                <w:szCs w:val="20"/>
              </w:rPr>
              <w:t>ASIGNATURA</w:t>
            </w:r>
          </w:p>
        </w:tc>
        <w:tc>
          <w:tcPr>
            <w:tcW w:w="680" w:type="dxa"/>
            <w:vAlign w:val="center"/>
          </w:tcPr>
          <w:p w:rsidR="00FD59CD" w:rsidRDefault="00FD59CD" w:rsidP="00192D91">
            <w:pPr>
              <w:jc w:val="center"/>
            </w:pPr>
            <w:r w:rsidRPr="00192D91">
              <w:rPr>
                <w:rFonts w:ascii="TradeGothic LT Bold" w:hAnsi="TradeGothic LT Bold"/>
                <w:sz w:val="20"/>
                <w:szCs w:val="20"/>
              </w:rPr>
              <w:t>CURSO</w:t>
            </w:r>
          </w:p>
        </w:tc>
        <w:tc>
          <w:tcPr>
            <w:tcW w:w="960" w:type="dxa"/>
            <w:vAlign w:val="center"/>
          </w:tcPr>
          <w:p w:rsidR="00FD59CD" w:rsidRDefault="00FD59CD" w:rsidP="00192D91">
            <w:pPr>
              <w:jc w:val="center"/>
            </w:pPr>
            <w:r w:rsidRPr="00192D91">
              <w:rPr>
                <w:rFonts w:ascii="TradeGothic LT Bold" w:hAnsi="TradeGothic LT Bold"/>
                <w:sz w:val="20"/>
                <w:szCs w:val="20"/>
              </w:rPr>
              <w:t>SEMESTRE</w:t>
            </w:r>
          </w:p>
        </w:tc>
        <w:tc>
          <w:tcPr>
            <w:tcW w:w="1276" w:type="dxa"/>
            <w:vAlign w:val="center"/>
          </w:tcPr>
          <w:p w:rsidR="00FD59CD" w:rsidRDefault="00FD59CD" w:rsidP="00192D91">
            <w:pPr>
              <w:jc w:val="center"/>
            </w:pPr>
            <w:r w:rsidRPr="00192D91">
              <w:rPr>
                <w:rFonts w:ascii="TradeGothic LT Bold" w:hAnsi="TradeGothic LT Bold"/>
                <w:sz w:val="20"/>
                <w:szCs w:val="20"/>
              </w:rPr>
              <w:t>CRÉDITOS</w:t>
            </w:r>
          </w:p>
        </w:tc>
        <w:tc>
          <w:tcPr>
            <w:tcW w:w="1705" w:type="dxa"/>
            <w:vAlign w:val="center"/>
          </w:tcPr>
          <w:p w:rsidR="00FD59CD" w:rsidRDefault="00FD59CD" w:rsidP="00192D91">
            <w:pPr>
              <w:jc w:val="center"/>
            </w:pPr>
            <w:r w:rsidRPr="00192D91">
              <w:rPr>
                <w:rFonts w:ascii="TradeGothic LT Bold" w:hAnsi="TradeGothic LT Bold"/>
                <w:sz w:val="20"/>
                <w:szCs w:val="20"/>
              </w:rPr>
              <w:t>CARÁCTER</w:t>
            </w:r>
          </w:p>
        </w:tc>
      </w:tr>
      <w:tr w:rsidR="00FD59CD" w:rsidTr="00192D91">
        <w:tc>
          <w:tcPr>
            <w:tcW w:w="1679" w:type="dxa"/>
            <w:vAlign w:val="center"/>
          </w:tcPr>
          <w:p w:rsidR="00FD59CD" w:rsidRDefault="00BC60F2" w:rsidP="00651E0D">
            <w:r>
              <w:t>III</w:t>
            </w:r>
          </w:p>
        </w:tc>
        <w:tc>
          <w:tcPr>
            <w:tcW w:w="1701" w:type="dxa"/>
            <w:vAlign w:val="center"/>
          </w:tcPr>
          <w:p w:rsidR="00FD59CD" w:rsidRDefault="00D36959" w:rsidP="00651E0D">
            <w:r w:rsidRPr="00D36959">
              <w:t>Igualdad y no discriminación</w:t>
            </w:r>
          </w:p>
        </w:tc>
        <w:tc>
          <w:tcPr>
            <w:tcW w:w="2187" w:type="dxa"/>
            <w:vAlign w:val="center"/>
          </w:tcPr>
          <w:p w:rsidR="00FD59CD" w:rsidRPr="00192D91" w:rsidRDefault="00D36959" w:rsidP="00651E0D">
            <w:pPr>
              <w:rPr>
                <w:rFonts w:ascii="TradeGothic LT" w:hAnsi="TradeGothic LT"/>
                <w:sz w:val="20"/>
                <w:szCs w:val="20"/>
              </w:rPr>
            </w:pPr>
            <w:r w:rsidRPr="00D36959">
              <w:rPr>
                <w:rFonts w:ascii="TradeGothic LT" w:hAnsi="TradeGothic LT"/>
                <w:sz w:val="20"/>
                <w:szCs w:val="20"/>
              </w:rPr>
              <w:t>Igualdad y no discriminación</w:t>
            </w:r>
          </w:p>
        </w:tc>
        <w:tc>
          <w:tcPr>
            <w:tcW w:w="680" w:type="dxa"/>
            <w:vAlign w:val="center"/>
          </w:tcPr>
          <w:p w:rsidR="00FD59CD" w:rsidRPr="00192D91" w:rsidRDefault="007C212B" w:rsidP="00651E0D">
            <w:pPr>
              <w:rPr>
                <w:rFonts w:ascii="TradeGothic LT" w:hAnsi="TradeGothic LT"/>
                <w:sz w:val="20"/>
                <w:szCs w:val="20"/>
              </w:rPr>
            </w:pPr>
            <w:r>
              <w:rPr>
                <w:rFonts w:ascii="TradeGothic LT" w:hAnsi="TradeGothic LT"/>
                <w:sz w:val="20"/>
                <w:szCs w:val="20"/>
              </w:rPr>
              <w:t>1º</w:t>
            </w:r>
          </w:p>
        </w:tc>
        <w:tc>
          <w:tcPr>
            <w:tcW w:w="960" w:type="dxa"/>
            <w:vAlign w:val="center"/>
          </w:tcPr>
          <w:p w:rsidR="00FD59CD" w:rsidRPr="00192D91" w:rsidRDefault="00FD59CD" w:rsidP="00651E0D">
            <w:pPr>
              <w:rPr>
                <w:rFonts w:ascii="TradeGothic LT" w:hAnsi="TradeGothic LT"/>
                <w:sz w:val="20"/>
                <w:szCs w:val="20"/>
              </w:rPr>
            </w:pPr>
          </w:p>
        </w:tc>
        <w:tc>
          <w:tcPr>
            <w:tcW w:w="1276" w:type="dxa"/>
            <w:vAlign w:val="center"/>
          </w:tcPr>
          <w:p w:rsidR="00FD59CD" w:rsidRPr="00192D91" w:rsidRDefault="00D36959" w:rsidP="00651E0D">
            <w:pPr>
              <w:rPr>
                <w:rFonts w:ascii="TradeGothic LT" w:hAnsi="TradeGothic LT"/>
                <w:sz w:val="20"/>
                <w:szCs w:val="20"/>
              </w:rPr>
            </w:pPr>
            <w:r>
              <w:rPr>
                <w:rFonts w:ascii="TradeGothic LT" w:hAnsi="TradeGothic LT"/>
                <w:sz w:val="20"/>
                <w:szCs w:val="20"/>
              </w:rPr>
              <w:t>4</w:t>
            </w:r>
          </w:p>
        </w:tc>
        <w:tc>
          <w:tcPr>
            <w:tcW w:w="1705" w:type="dxa"/>
            <w:vAlign w:val="center"/>
          </w:tcPr>
          <w:p w:rsidR="00FD59CD" w:rsidRPr="00192D91" w:rsidRDefault="007C212B" w:rsidP="00651E0D">
            <w:pPr>
              <w:rPr>
                <w:rFonts w:ascii="TradeGothic LT" w:hAnsi="TradeGothic LT"/>
                <w:sz w:val="20"/>
                <w:szCs w:val="20"/>
              </w:rPr>
            </w:pPr>
            <w:r>
              <w:rPr>
                <w:rFonts w:ascii="TradeGothic LT" w:hAnsi="TradeGothic LT"/>
                <w:sz w:val="20"/>
                <w:szCs w:val="20"/>
              </w:rPr>
              <w:t>Obligatoria</w:t>
            </w:r>
          </w:p>
        </w:tc>
      </w:tr>
      <w:tr w:rsidR="008B5740" w:rsidTr="00192D91">
        <w:tc>
          <w:tcPr>
            <w:tcW w:w="5567" w:type="dxa"/>
            <w:gridSpan w:val="3"/>
            <w:vAlign w:val="center"/>
          </w:tcPr>
          <w:p w:rsidR="00CD6B36" w:rsidRDefault="005F22A7" w:rsidP="00CD6B36">
            <w:r w:rsidRPr="00192D91">
              <w:rPr>
                <w:rFonts w:ascii="TradeGothic LT Bold" w:hAnsi="TradeGothic LT Bold"/>
                <w:sz w:val="20"/>
                <w:szCs w:val="20"/>
              </w:rPr>
              <w:t>PROFESOR(ES</w:t>
            </w:r>
          </w:p>
          <w:p w:rsidR="00D36959" w:rsidRDefault="00D36959" w:rsidP="00651E0D"/>
        </w:tc>
        <w:tc>
          <w:tcPr>
            <w:tcW w:w="4621" w:type="dxa"/>
            <w:gridSpan w:val="4"/>
            <w:vAlign w:val="center"/>
          </w:tcPr>
          <w:p w:rsidR="007D525F" w:rsidRDefault="005F22A7" w:rsidP="00651E0D">
            <w:r w:rsidRPr="00192D91">
              <w:rPr>
                <w:rFonts w:ascii="TradeGothic LT Bold" w:hAnsi="TradeGothic LT Bold"/>
                <w:sz w:val="20"/>
                <w:szCs w:val="20"/>
              </w:rPr>
              <w:t>DIRECCIÓN COMPLETA DE CONTACTO PARA TUTORÍAS (Dirección postal, teléfono, correo electrónico, etc.)</w:t>
            </w:r>
          </w:p>
        </w:tc>
      </w:tr>
      <w:tr w:rsidR="008B5740" w:rsidRPr="00CD6B36" w:rsidTr="00192D91">
        <w:tc>
          <w:tcPr>
            <w:tcW w:w="5567" w:type="dxa"/>
            <w:gridSpan w:val="3"/>
            <w:vMerge w:val="restart"/>
            <w:vAlign w:val="center"/>
          </w:tcPr>
          <w:p w:rsidR="00CD6B36" w:rsidRDefault="00CD6B36" w:rsidP="00CD6B36">
            <w:r>
              <w:t>Agustín Ruiz Robledo</w:t>
            </w:r>
          </w:p>
          <w:p w:rsidR="00CD6B36" w:rsidRDefault="00CD6B36" w:rsidP="00CD6B36">
            <w:r>
              <w:t>Catedrático de Derecho Constitucional</w:t>
            </w:r>
          </w:p>
          <w:p w:rsidR="00CD6B36" w:rsidRDefault="00CD6B36" w:rsidP="00CD6B36"/>
          <w:p w:rsidR="002602B2" w:rsidRDefault="00CD6B36" w:rsidP="00CD6B36">
            <w:r>
              <w:t>Concepción Pérez Villalobos</w:t>
            </w:r>
          </w:p>
          <w:p w:rsidR="00CD6B36" w:rsidRDefault="00CD6B36" w:rsidP="00CD6B36">
            <w:r>
              <w:t xml:space="preserve">Profesora Titular </w:t>
            </w:r>
            <w:r w:rsidRPr="00CD6B36">
              <w:t>de Derecho Constitucional</w:t>
            </w:r>
          </w:p>
        </w:tc>
        <w:tc>
          <w:tcPr>
            <w:tcW w:w="4621" w:type="dxa"/>
            <w:gridSpan w:val="4"/>
            <w:vAlign w:val="center"/>
          </w:tcPr>
          <w:p w:rsidR="00CD6B36" w:rsidRDefault="00CD6B36" w:rsidP="00CD6B36">
            <w:r>
              <w:t>Departamento de Derecho Constitucional, Facultad de Derecho, Plaza de la Universidad s/n 18001 – Granada (España).</w:t>
            </w:r>
            <w:r>
              <w:rPr>
                <w:rFonts w:ascii="MS Gothic" w:eastAsia="MS Gothic" w:hAnsi="MS Gothic" w:cs="MS Gothic" w:hint="eastAsia"/>
              </w:rPr>
              <w:t> </w:t>
            </w:r>
            <w:r>
              <w:t>Tel.: +34/958243455</w:t>
            </w:r>
            <w:r>
              <w:rPr>
                <w:rFonts w:ascii="MS Gothic" w:eastAsia="MS Gothic" w:hAnsi="MS Gothic" w:cs="MS Gothic" w:hint="eastAsia"/>
              </w:rPr>
              <w:t> </w:t>
            </w:r>
            <w:r>
              <w:t>E-mail: arobledo@ugr.es</w:t>
            </w:r>
            <w:r>
              <w:rPr>
                <w:rFonts w:ascii="MS Gothic" w:eastAsia="MS Gothic" w:hAnsi="MS Gothic" w:cs="MS Gothic" w:hint="eastAsia"/>
              </w:rPr>
              <w:t> </w:t>
            </w:r>
          </w:p>
          <w:p w:rsidR="00AA511A" w:rsidRPr="00CD6B36" w:rsidRDefault="00CD6B36" w:rsidP="00CD6B36">
            <w:pPr>
              <w:rPr>
                <w:lang w:val="en-US"/>
              </w:rPr>
            </w:pPr>
            <w:r w:rsidRPr="00CD6B36">
              <w:rPr>
                <w:lang w:val="en-US"/>
              </w:rPr>
              <w:t>Web: http://constitucional.ugr.es/</w:t>
            </w:r>
          </w:p>
        </w:tc>
      </w:tr>
      <w:tr w:rsidR="008B5740" w:rsidTr="00192D91">
        <w:tc>
          <w:tcPr>
            <w:tcW w:w="5567" w:type="dxa"/>
            <w:gridSpan w:val="3"/>
            <w:vMerge/>
            <w:vAlign w:val="center"/>
          </w:tcPr>
          <w:p w:rsidR="007D525F" w:rsidRPr="00CD6B36" w:rsidRDefault="007D525F" w:rsidP="00651E0D">
            <w:pPr>
              <w:rPr>
                <w:lang w:val="en-US"/>
              </w:rPr>
            </w:pPr>
          </w:p>
        </w:tc>
        <w:tc>
          <w:tcPr>
            <w:tcW w:w="4621" w:type="dxa"/>
            <w:gridSpan w:val="4"/>
            <w:vAlign w:val="center"/>
          </w:tcPr>
          <w:p w:rsidR="007D525F" w:rsidRDefault="005F22A7" w:rsidP="00651E0D">
            <w:r w:rsidRPr="00192D91">
              <w:rPr>
                <w:rFonts w:ascii="TradeGothic LT Bold" w:hAnsi="TradeGothic LT Bold"/>
                <w:sz w:val="20"/>
                <w:szCs w:val="20"/>
              </w:rPr>
              <w:t>HORARIO DE TUTORÍAS</w:t>
            </w:r>
          </w:p>
        </w:tc>
      </w:tr>
      <w:tr w:rsidR="008B5740" w:rsidTr="00192D91">
        <w:tc>
          <w:tcPr>
            <w:tcW w:w="5567" w:type="dxa"/>
            <w:gridSpan w:val="3"/>
            <w:vMerge/>
            <w:vAlign w:val="center"/>
          </w:tcPr>
          <w:p w:rsidR="007D525F" w:rsidRDefault="007D525F" w:rsidP="00651E0D"/>
        </w:tc>
        <w:tc>
          <w:tcPr>
            <w:tcW w:w="4621" w:type="dxa"/>
            <w:gridSpan w:val="4"/>
            <w:vAlign w:val="center"/>
          </w:tcPr>
          <w:p w:rsidR="00AA511A" w:rsidRPr="00192D91" w:rsidRDefault="00CD6B36" w:rsidP="00C47CC4">
            <w:pPr>
              <w:rPr>
                <w:rFonts w:ascii="TradeGothic LT" w:hAnsi="TradeGothic LT"/>
                <w:sz w:val="20"/>
                <w:szCs w:val="20"/>
              </w:rPr>
            </w:pPr>
            <w:r w:rsidRPr="00CD6B36">
              <w:rPr>
                <w:rFonts w:ascii="TradeGothic LT" w:hAnsi="TradeGothic LT"/>
                <w:sz w:val="20"/>
                <w:szCs w:val="20"/>
              </w:rPr>
              <w:t>Las tutorías se realizarán a través del correo electrónico de la plataforma</w:t>
            </w:r>
          </w:p>
        </w:tc>
      </w:tr>
      <w:tr w:rsidR="008B5740" w:rsidTr="00192D91">
        <w:tc>
          <w:tcPr>
            <w:tcW w:w="5567" w:type="dxa"/>
            <w:gridSpan w:val="3"/>
            <w:vAlign w:val="center"/>
          </w:tcPr>
          <w:p w:rsidR="007D525F" w:rsidRDefault="00B96B75" w:rsidP="00651E0D">
            <w:r w:rsidRPr="00192D91">
              <w:rPr>
                <w:rFonts w:ascii="TradeGothic LT Bold" w:hAnsi="TradeGothic LT Bold"/>
                <w:sz w:val="20"/>
                <w:szCs w:val="20"/>
              </w:rPr>
              <w:t xml:space="preserve">MÁSTER </w:t>
            </w:r>
            <w:r w:rsidR="005F22A7" w:rsidRPr="00192D91">
              <w:rPr>
                <w:rFonts w:ascii="TradeGothic LT Bold" w:hAnsi="TradeGothic LT Bold"/>
                <w:sz w:val="20"/>
                <w:szCs w:val="20"/>
              </w:rPr>
              <w:t xml:space="preserve"> EN EL QUE SE IMPARTE</w:t>
            </w:r>
          </w:p>
        </w:tc>
        <w:tc>
          <w:tcPr>
            <w:tcW w:w="4621" w:type="dxa"/>
            <w:gridSpan w:val="4"/>
            <w:vAlign w:val="center"/>
          </w:tcPr>
          <w:p w:rsidR="007D525F" w:rsidRDefault="005F22A7" w:rsidP="00651E0D">
            <w:r w:rsidRPr="00192D91">
              <w:rPr>
                <w:rFonts w:ascii="TradeGothic LT Bold" w:hAnsi="TradeGothic LT Bold"/>
                <w:sz w:val="20"/>
                <w:szCs w:val="20"/>
              </w:rPr>
              <w:t xml:space="preserve">OTROS </w:t>
            </w:r>
            <w:r w:rsidR="00B96B75" w:rsidRPr="00192D91">
              <w:rPr>
                <w:rFonts w:ascii="TradeGothic LT Bold" w:hAnsi="TradeGothic LT Bold"/>
                <w:sz w:val="20"/>
                <w:szCs w:val="20"/>
              </w:rPr>
              <w:t>MÁSTERES</w:t>
            </w:r>
            <w:r w:rsidRPr="00192D91">
              <w:rPr>
                <w:rFonts w:ascii="TradeGothic LT Bold" w:hAnsi="TradeGothic LT Bold"/>
                <w:sz w:val="20"/>
                <w:szCs w:val="20"/>
              </w:rPr>
              <w:t xml:space="preserve"> A LOS QUE SE PODRÍA OFERTAR</w:t>
            </w:r>
          </w:p>
        </w:tc>
      </w:tr>
      <w:tr w:rsidR="008B5740" w:rsidTr="00192D91">
        <w:tc>
          <w:tcPr>
            <w:tcW w:w="5567" w:type="dxa"/>
            <w:gridSpan w:val="3"/>
            <w:vAlign w:val="center"/>
          </w:tcPr>
          <w:p w:rsidR="007D525F" w:rsidRDefault="007C212B" w:rsidP="00651E0D">
            <w:r>
              <w:t>MU en Derechos fundamentales en perspectiva nacional, supranacional y global</w:t>
            </w:r>
          </w:p>
        </w:tc>
        <w:tc>
          <w:tcPr>
            <w:tcW w:w="4621" w:type="dxa"/>
            <w:gridSpan w:val="4"/>
            <w:vAlign w:val="center"/>
          </w:tcPr>
          <w:p w:rsidR="007D525F" w:rsidRDefault="007D525F" w:rsidP="00651E0D"/>
        </w:tc>
      </w:tr>
      <w:tr w:rsidR="007D525F" w:rsidTr="00192D91">
        <w:tc>
          <w:tcPr>
            <w:tcW w:w="10188" w:type="dxa"/>
            <w:gridSpan w:val="7"/>
            <w:vAlign w:val="center"/>
          </w:tcPr>
          <w:p w:rsidR="007D525F" w:rsidRDefault="005F22A7" w:rsidP="00651E0D">
            <w:r w:rsidRPr="00192D91">
              <w:rPr>
                <w:rFonts w:ascii="TradeGothic LT Bold" w:hAnsi="TradeGothic LT Bold"/>
                <w:sz w:val="20"/>
                <w:szCs w:val="20"/>
              </w:rPr>
              <w:t>PRERREQUISITOS Y/O RECOMENDACIONES (si procede)</w:t>
            </w:r>
          </w:p>
        </w:tc>
      </w:tr>
      <w:tr w:rsidR="007D525F" w:rsidTr="00192D91">
        <w:tc>
          <w:tcPr>
            <w:tcW w:w="10188" w:type="dxa"/>
            <w:gridSpan w:val="7"/>
            <w:vAlign w:val="center"/>
          </w:tcPr>
          <w:p w:rsidR="0025775B" w:rsidRPr="00192D91" w:rsidRDefault="0025775B" w:rsidP="007C212B">
            <w:pPr>
              <w:tabs>
                <w:tab w:val="left" w:pos="1924"/>
              </w:tabs>
              <w:rPr>
                <w:rFonts w:ascii="TradeGothic LT" w:hAnsi="TradeGothic LT"/>
                <w:sz w:val="20"/>
                <w:szCs w:val="20"/>
              </w:rPr>
            </w:pPr>
          </w:p>
          <w:p w:rsidR="002D6126" w:rsidRPr="00192D91" w:rsidRDefault="002D6126" w:rsidP="0070779D">
            <w:pPr>
              <w:rPr>
                <w:rFonts w:ascii="TradeGothic LT" w:hAnsi="TradeGothic LT"/>
                <w:sz w:val="20"/>
                <w:szCs w:val="20"/>
              </w:rPr>
            </w:pPr>
          </w:p>
        </w:tc>
      </w:tr>
      <w:tr w:rsidR="007D525F" w:rsidTr="00192D91">
        <w:tc>
          <w:tcPr>
            <w:tcW w:w="10188" w:type="dxa"/>
            <w:gridSpan w:val="7"/>
            <w:vAlign w:val="center"/>
          </w:tcPr>
          <w:p w:rsidR="007D525F" w:rsidRDefault="005F22A7" w:rsidP="00651E0D">
            <w:r w:rsidRPr="00192D91">
              <w:rPr>
                <w:rFonts w:ascii="TradeGothic LT Bold" w:hAnsi="TradeGothic LT Bold"/>
                <w:sz w:val="20"/>
                <w:szCs w:val="20"/>
              </w:rPr>
              <w:t xml:space="preserve">BREVE DESCRIPCIÓN DE CONTENIDOS (SEGÚN MEMORIA DE VERIFICACIÓN DEL </w:t>
            </w:r>
            <w:r w:rsidR="00B96B75" w:rsidRPr="00192D91">
              <w:rPr>
                <w:rFonts w:ascii="TradeGothic LT Bold" w:hAnsi="TradeGothic LT Bold"/>
                <w:sz w:val="20"/>
                <w:szCs w:val="20"/>
              </w:rPr>
              <w:t>MÁSTER</w:t>
            </w:r>
            <w:r w:rsidRPr="00192D91">
              <w:rPr>
                <w:rFonts w:ascii="TradeGothic LT Bold" w:hAnsi="TradeGothic LT Bold"/>
                <w:sz w:val="20"/>
                <w:szCs w:val="20"/>
              </w:rPr>
              <w:t>)</w:t>
            </w:r>
          </w:p>
        </w:tc>
      </w:tr>
      <w:tr w:rsidR="007D525F" w:rsidTr="00192D91">
        <w:tc>
          <w:tcPr>
            <w:tcW w:w="10188" w:type="dxa"/>
            <w:gridSpan w:val="7"/>
            <w:vAlign w:val="center"/>
          </w:tcPr>
          <w:p w:rsidR="007D525F" w:rsidRDefault="00CD6B36" w:rsidP="00651E0D">
            <w:pPr>
              <w:rPr>
                <w:rFonts w:ascii="TradeGothic LT" w:hAnsi="TradeGothic LT"/>
                <w:sz w:val="20"/>
                <w:szCs w:val="20"/>
              </w:rPr>
            </w:pPr>
            <w:r w:rsidRPr="00CD6B36">
              <w:rPr>
                <w:rFonts w:ascii="TradeGothic LT" w:hAnsi="TradeGothic LT"/>
                <w:sz w:val="20"/>
                <w:szCs w:val="20"/>
              </w:rPr>
              <w:t>Este curso tiene como objetivo ofrecer una formación básica en los grandes temas que plantea actualmente el Derecho Constitucional Europeo desde la perspectiva de su configuración como marco supranacional de realización de los Derechos Fundamentales. El curso desarrollará la metodología específica del Derecho Constitucional Europeo, que está conectada con la protección multinivel de los derechos en la medida en que es una parte fundamental de su objeto de estudio la interacción entre el Derecho Constitucional de la Unión Europea y el Derecho Constitucional de los Estados miembros y de los diversos espacios constitucionales que coexisten en Europa.</w:t>
            </w:r>
          </w:p>
          <w:p w:rsidR="00CD6B36" w:rsidRPr="00192D91" w:rsidRDefault="00CD6B36" w:rsidP="00651E0D">
            <w:pPr>
              <w:rPr>
                <w:rFonts w:ascii="TradeGothic LT" w:hAnsi="TradeGothic LT"/>
                <w:sz w:val="20"/>
                <w:szCs w:val="20"/>
              </w:rPr>
            </w:pPr>
            <w:r>
              <w:rPr>
                <w:rFonts w:ascii="TradeGothic LT" w:hAnsi="TradeGothic LT"/>
                <w:sz w:val="20"/>
                <w:szCs w:val="20"/>
              </w:rPr>
              <w:t xml:space="preserve">En concreto, la asignatura </w:t>
            </w:r>
            <w:r w:rsidRPr="00CD6B36">
              <w:rPr>
                <w:rFonts w:ascii="TradeGothic LT" w:hAnsi="TradeGothic LT"/>
                <w:sz w:val="20"/>
                <w:szCs w:val="20"/>
              </w:rPr>
              <w:t>Igualdad y no discriminación</w:t>
            </w:r>
            <w:r w:rsidR="002503EE">
              <w:rPr>
                <w:rFonts w:ascii="TradeGothic LT" w:hAnsi="TradeGothic LT"/>
                <w:sz w:val="20"/>
                <w:szCs w:val="20"/>
              </w:rPr>
              <w:t xml:space="preserve"> pretende estudiar la igualdad en el Derecho Europeo partiendo de su con</w:t>
            </w:r>
            <w:r w:rsidR="005F4371">
              <w:rPr>
                <w:rFonts w:ascii="TradeGothic LT" w:hAnsi="TradeGothic LT"/>
                <w:sz w:val="20"/>
                <w:szCs w:val="20"/>
              </w:rPr>
              <w:t>sagración tanto en el Tratado de la Unión com</w:t>
            </w:r>
            <w:r w:rsidR="002503EE">
              <w:rPr>
                <w:rFonts w:ascii="TradeGothic LT" w:hAnsi="TradeGothic LT"/>
                <w:sz w:val="20"/>
                <w:szCs w:val="20"/>
              </w:rPr>
              <w:t>o</w:t>
            </w:r>
            <w:r w:rsidR="005F4371">
              <w:rPr>
                <w:rFonts w:ascii="TradeGothic LT" w:hAnsi="TradeGothic LT"/>
                <w:sz w:val="20"/>
                <w:szCs w:val="20"/>
              </w:rPr>
              <w:t xml:space="preserve"> en la Carta de Derechos Fundamentales de la Unión.</w:t>
            </w:r>
          </w:p>
          <w:p w:rsidR="002D6126" w:rsidRDefault="002D6126" w:rsidP="005F4371"/>
        </w:tc>
      </w:tr>
      <w:tr w:rsidR="007D525F" w:rsidTr="00192D91">
        <w:tc>
          <w:tcPr>
            <w:tcW w:w="10188" w:type="dxa"/>
            <w:gridSpan w:val="7"/>
            <w:vAlign w:val="center"/>
          </w:tcPr>
          <w:p w:rsidR="007D525F" w:rsidRDefault="005F22A7" w:rsidP="00651E0D">
            <w:r w:rsidRPr="00192D91">
              <w:rPr>
                <w:rFonts w:ascii="TradeGothic LT Bold" w:hAnsi="TradeGothic LT Bold"/>
                <w:sz w:val="20"/>
                <w:szCs w:val="20"/>
              </w:rPr>
              <w:lastRenderedPageBreak/>
              <w:t>COMPETENCIAS GENERALES Y ESPECÍFICAS</w:t>
            </w:r>
            <w:r w:rsidR="00AD0EC0" w:rsidRPr="00192D91">
              <w:rPr>
                <w:rFonts w:ascii="TradeGothic LT Bold" w:hAnsi="TradeGothic LT Bold"/>
                <w:sz w:val="20"/>
                <w:szCs w:val="20"/>
              </w:rPr>
              <w:t xml:space="preserve"> DEL MÓDULO</w:t>
            </w:r>
          </w:p>
        </w:tc>
      </w:tr>
      <w:tr w:rsidR="007D525F" w:rsidTr="00192D91">
        <w:tc>
          <w:tcPr>
            <w:tcW w:w="10188" w:type="dxa"/>
            <w:gridSpan w:val="7"/>
            <w:vAlign w:val="center"/>
          </w:tcPr>
          <w:p w:rsidR="00777391" w:rsidRPr="00777391" w:rsidRDefault="00777391" w:rsidP="00777391">
            <w:pPr>
              <w:rPr>
                <w:rFonts w:ascii="TradeGothic LT" w:hAnsi="TradeGothic LT"/>
                <w:sz w:val="20"/>
                <w:szCs w:val="20"/>
              </w:rPr>
            </w:pPr>
            <w:r w:rsidRPr="00777391">
              <w:rPr>
                <w:rFonts w:ascii="TradeGothic LT" w:hAnsi="TradeGothic LT"/>
                <w:sz w:val="20"/>
                <w:szCs w:val="20"/>
              </w:rPr>
              <w:t>- Capacidad de integrar conocimientos y enfrentarse a la complejidad de formular posiciones científicas a partir de una información incompleta o limitada. Para ello su competencia científica debe permitirles evaluar los contextos sociales, éticos y políticos en los que se desarrollan determinadas controversias jurídicas</w:t>
            </w:r>
          </w:p>
          <w:p w:rsidR="00777391" w:rsidRPr="00777391" w:rsidRDefault="00777391" w:rsidP="00777391">
            <w:pPr>
              <w:rPr>
                <w:rFonts w:ascii="TradeGothic LT" w:hAnsi="TradeGothic LT"/>
                <w:sz w:val="20"/>
                <w:szCs w:val="20"/>
              </w:rPr>
            </w:pPr>
          </w:p>
          <w:p w:rsidR="00777391" w:rsidRPr="00777391" w:rsidRDefault="00777391" w:rsidP="00777391">
            <w:pPr>
              <w:rPr>
                <w:rFonts w:ascii="TradeGothic LT" w:hAnsi="TradeGothic LT"/>
                <w:sz w:val="20"/>
                <w:szCs w:val="20"/>
              </w:rPr>
            </w:pPr>
            <w:r w:rsidRPr="00777391">
              <w:rPr>
                <w:rFonts w:ascii="TradeGothic LT" w:hAnsi="TradeGothic LT"/>
                <w:sz w:val="20"/>
                <w:szCs w:val="20"/>
              </w:rPr>
              <w:t xml:space="preserve">- Habilidades de aprendizaje que les permitan continuar estudiando de un modo que habrá de ser en gran medida autónomo. </w:t>
            </w:r>
          </w:p>
          <w:p w:rsidR="00777391" w:rsidRPr="00777391" w:rsidRDefault="00777391" w:rsidP="00777391">
            <w:pPr>
              <w:rPr>
                <w:rFonts w:ascii="TradeGothic LT" w:hAnsi="TradeGothic LT"/>
                <w:sz w:val="20"/>
                <w:szCs w:val="20"/>
              </w:rPr>
            </w:pPr>
          </w:p>
          <w:p w:rsidR="005D4FEE" w:rsidRPr="00192D91" w:rsidRDefault="00777391" w:rsidP="00777391">
            <w:pPr>
              <w:rPr>
                <w:rFonts w:ascii="TradeGothic LT" w:hAnsi="TradeGothic LT"/>
                <w:sz w:val="20"/>
                <w:szCs w:val="20"/>
              </w:rPr>
            </w:pPr>
            <w:r w:rsidRPr="00777391">
              <w:rPr>
                <w:rFonts w:ascii="TradeGothic LT" w:hAnsi="TradeGothic LT"/>
                <w:sz w:val="20"/>
                <w:szCs w:val="20"/>
              </w:rPr>
              <w:t>- Capacidad de comprender conocimientos que aporten una base u oportunidad de ser originales en el desarrollo y aplicación de ideas, a menudo en un contexto de investigación</w:t>
            </w:r>
          </w:p>
          <w:p w:rsidR="00777391" w:rsidRPr="00777391" w:rsidRDefault="00777391" w:rsidP="00777391">
            <w:pPr>
              <w:rPr>
                <w:rFonts w:ascii="TradeGothic LT" w:hAnsi="TradeGothic LT"/>
                <w:sz w:val="20"/>
                <w:szCs w:val="20"/>
              </w:rPr>
            </w:pPr>
            <w:r w:rsidRPr="00777391">
              <w:rPr>
                <w:rFonts w:ascii="TradeGothic LT" w:hAnsi="TradeGothic LT"/>
                <w:sz w:val="20"/>
                <w:szCs w:val="20"/>
              </w:rPr>
              <w:t>- Ser capaz de analizar de manera crítica los principales elementos y retos globales a los que se enfrentan los sistemas constitucionales y los sistemas de garantía de derechos</w:t>
            </w:r>
          </w:p>
          <w:p w:rsidR="00777391" w:rsidRPr="00777391" w:rsidRDefault="00777391" w:rsidP="00777391">
            <w:pPr>
              <w:rPr>
                <w:rFonts w:ascii="TradeGothic LT" w:hAnsi="TradeGothic LT"/>
                <w:sz w:val="20"/>
                <w:szCs w:val="20"/>
              </w:rPr>
            </w:pPr>
          </w:p>
          <w:p w:rsidR="002D6126" w:rsidRPr="00192D91" w:rsidRDefault="00777391" w:rsidP="00777391">
            <w:pPr>
              <w:rPr>
                <w:rFonts w:ascii="TradeGothic LT" w:hAnsi="TradeGothic LT"/>
                <w:sz w:val="20"/>
                <w:szCs w:val="20"/>
              </w:rPr>
            </w:pPr>
            <w:r w:rsidRPr="00777391">
              <w:rPr>
                <w:rFonts w:ascii="TradeGothic LT" w:hAnsi="TradeGothic LT"/>
                <w:sz w:val="20"/>
                <w:szCs w:val="20"/>
              </w:rPr>
              <w:t>- Ser capaz de elaborar argumentaciones que conecten la evolución jurisprudencial de derechos sustantivos en el tiempo y en sentido multinivel, señalando los elementos de continuidad y ruptura de la doctrina.</w:t>
            </w:r>
          </w:p>
          <w:p w:rsidR="002D6126" w:rsidRPr="00192D91" w:rsidRDefault="002D6126" w:rsidP="00CB0A2F">
            <w:pPr>
              <w:rPr>
                <w:rFonts w:ascii="TradeGothic LT" w:hAnsi="TradeGothic LT"/>
                <w:sz w:val="20"/>
                <w:szCs w:val="20"/>
              </w:rPr>
            </w:pPr>
          </w:p>
        </w:tc>
      </w:tr>
      <w:tr w:rsidR="007D525F" w:rsidTr="00192D91">
        <w:tc>
          <w:tcPr>
            <w:tcW w:w="10188" w:type="dxa"/>
            <w:gridSpan w:val="7"/>
            <w:vAlign w:val="center"/>
          </w:tcPr>
          <w:p w:rsidR="007D525F" w:rsidRDefault="005F22A7" w:rsidP="00651E0D">
            <w:r w:rsidRPr="00192D91">
              <w:rPr>
                <w:rFonts w:ascii="TradeGothic LT Bold" w:hAnsi="TradeGothic LT Bold"/>
                <w:sz w:val="20"/>
                <w:szCs w:val="20"/>
              </w:rPr>
              <w:t xml:space="preserve">OBJETIVOS (EXPRESADOS COMO RESULTADOS ESPERABLES DE </w:t>
            </w:r>
            <w:smartTag w:uri="urn:schemas-microsoft-com:office:smarttags" w:element="PersonName">
              <w:smartTagPr>
                <w:attr w:name="ProductID" w:val="LA ENSE￑ANZA"/>
              </w:smartTagPr>
              <w:r w:rsidRPr="00192D91">
                <w:rPr>
                  <w:rFonts w:ascii="TradeGothic LT Bold" w:hAnsi="TradeGothic LT Bold"/>
                  <w:sz w:val="20"/>
                  <w:szCs w:val="20"/>
                </w:rPr>
                <w:t>LA ENSEÑANZA</w:t>
              </w:r>
            </w:smartTag>
            <w:r w:rsidRPr="00192D91">
              <w:rPr>
                <w:rFonts w:ascii="TradeGothic LT Bold" w:hAnsi="TradeGothic LT Bold"/>
                <w:sz w:val="20"/>
                <w:szCs w:val="20"/>
              </w:rPr>
              <w:t>)</w:t>
            </w:r>
          </w:p>
        </w:tc>
      </w:tr>
      <w:tr w:rsidR="007D525F" w:rsidTr="00192D91">
        <w:tc>
          <w:tcPr>
            <w:tcW w:w="10188" w:type="dxa"/>
            <w:gridSpan w:val="7"/>
            <w:vAlign w:val="center"/>
          </w:tcPr>
          <w:p w:rsidR="00A504B1" w:rsidRPr="00192D91" w:rsidRDefault="00A504B1" w:rsidP="00A504B1">
            <w:pPr>
              <w:rPr>
                <w:rFonts w:ascii="TradeGothic LT" w:hAnsi="TradeGothic LT"/>
                <w:b/>
                <w:bCs/>
                <w:i/>
                <w:iCs/>
                <w:sz w:val="20"/>
                <w:szCs w:val="20"/>
              </w:rPr>
            </w:pPr>
          </w:p>
          <w:p w:rsidR="00A504B1" w:rsidRPr="00192D91" w:rsidRDefault="00A504B1" w:rsidP="00A504B1">
            <w:pPr>
              <w:rPr>
                <w:rFonts w:ascii="TradeGothic LT" w:hAnsi="TradeGothic LT"/>
                <w:b/>
                <w:bCs/>
                <w:i/>
                <w:iCs/>
                <w:sz w:val="20"/>
                <w:szCs w:val="20"/>
              </w:rPr>
            </w:pPr>
            <w:r w:rsidRPr="00192D91">
              <w:rPr>
                <w:rFonts w:ascii="TradeGothic LT" w:hAnsi="TradeGothic LT"/>
                <w:b/>
                <w:bCs/>
                <w:i/>
                <w:iCs/>
                <w:sz w:val="20"/>
                <w:szCs w:val="20"/>
              </w:rPr>
              <w:t>El alumno sabrá/comprenderá:</w:t>
            </w:r>
          </w:p>
          <w:p w:rsidR="00A504B1" w:rsidRPr="00192D91" w:rsidRDefault="00777391" w:rsidP="00A504B1">
            <w:pPr>
              <w:rPr>
                <w:rFonts w:ascii="TradeGothic LT" w:hAnsi="TradeGothic LT"/>
                <w:sz w:val="20"/>
                <w:szCs w:val="20"/>
              </w:rPr>
            </w:pPr>
            <w:r w:rsidRPr="00777391">
              <w:rPr>
                <w:rFonts w:ascii="TradeGothic LT" w:hAnsi="TradeGothic LT"/>
                <w:sz w:val="20"/>
                <w:szCs w:val="20"/>
              </w:rPr>
              <w:t>La naturaleza del Derecho constitucional europeo como disciplina que se basa en la interacción entre el espacio constitucional de la Unión Europea y los espacios constitucionales de los Estados miembros. Comprender esta perspectiva metodológica específica del Derecho constitucional Europeo en su condición de modelo más avanzado de un Derecho Constitucional Supranacional cuyo núcleo esencial está formado por la garantía de los Derechos Fundamentales</w:t>
            </w:r>
            <w:r w:rsidR="005F4371">
              <w:rPr>
                <w:rFonts w:ascii="TradeGothic LT" w:hAnsi="TradeGothic LT"/>
                <w:sz w:val="20"/>
                <w:szCs w:val="20"/>
              </w:rPr>
              <w:t xml:space="preserve">. </w:t>
            </w:r>
          </w:p>
          <w:p w:rsidR="004A4813" w:rsidRPr="00192D91" w:rsidRDefault="004A4813" w:rsidP="004A4813">
            <w:pPr>
              <w:rPr>
                <w:rFonts w:ascii="TradeGothic LT" w:hAnsi="TradeGothic LT"/>
                <w:sz w:val="20"/>
                <w:szCs w:val="20"/>
                <w:lang w:val="es-ES_tradnl"/>
              </w:rPr>
            </w:pPr>
          </w:p>
          <w:p w:rsidR="00CB0A2F" w:rsidRPr="00192D91" w:rsidRDefault="00CB0A2F" w:rsidP="004A4813">
            <w:pPr>
              <w:rPr>
                <w:rFonts w:ascii="TradeGothic LT" w:hAnsi="TradeGothic LT"/>
                <w:sz w:val="20"/>
                <w:szCs w:val="20"/>
                <w:lang w:val="es-ES_tradnl"/>
              </w:rPr>
            </w:pPr>
          </w:p>
          <w:p w:rsidR="00CB0A2F" w:rsidRPr="00192D91" w:rsidRDefault="00CB0A2F" w:rsidP="004A4813">
            <w:pPr>
              <w:rPr>
                <w:rFonts w:ascii="TradeGothic LT" w:hAnsi="TradeGothic LT"/>
                <w:sz w:val="20"/>
                <w:szCs w:val="20"/>
              </w:rPr>
            </w:pPr>
          </w:p>
          <w:p w:rsidR="00AE67AC" w:rsidRPr="00192D91" w:rsidRDefault="00AE67AC" w:rsidP="004A4813">
            <w:pPr>
              <w:rPr>
                <w:rFonts w:ascii="TradeGothic LT" w:hAnsi="TradeGothic LT"/>
                <w:sz w:val="20"/>
                <w:szCs w:val="20"/>
              </w:rPr>
            </w:pPr>
          </w:p>
          <w:p w:rsidR="004A4813" w:rsidRPr="00192D91" w:rsidRDefault="004A4813" w:rsidP="004A4813">
            <w:pPr>
              <w:rPr>
                <w:rFonts w:ascii="TradeGothic LT" w:hAnsi="TradeGothic LT"/>
                <w:b/>
                <w:sz w:val="20"/>
                <w:szCs w:val="20"/>
              </w:rPr>
            </w:pPr>
            <w:r w:rsidRPr="00192D91">
              <w:rPr>
                <w:rFonts w:ascii="TradeGothic LT" w:hAnsi="TradeGothic LT"/>
                <w:b/>
                <w:bCs/>
                <w:i/>
                <w:iCs/>
                <w:sz w:val="20"/>
                <w:szCs w:val="20"/>
              </w:rPr>
              <w:t>El alumno será capaz de</w:t>
            </w:r>
            <w:r w:rsidRPr="00192D91">
              <w:rPr>
                <w:rFonts w:ascii="TradeGothic LT" w:hAnsi="TradeGothic LT"/>
                <w:b/>
                <w:sz w:val="20"/>
                <w:szCs w:val="20"/>
              </w:rPr>
              <w:t>:</w:t>
            </w:r>
          </w:p>
          <w:p w:rsidR="005F4371" w:rsidRPr="00192D91" w:rsidRDefault="00777391" w:rsidP="005F4371">
            <w:pPr>
              <w:rPr>
                <w:rFonts w:ascii="TradeGothic LT" w:hAnsi="TradeGothic LT"/>
                <w:sz w:val="20"/>
                <w:szCs w:val="20"/>
              </w:rPr>
            </w:pPr>
            <w:r w:rsidRPr="008E21B2">
              <w:rPr>
                <w:rFonts w:ascii="TradeGothic LT" w:hAnsi="TradeGothic LT"/>
                <w:color w:val="000000"/>
                <w:sz w:val="20"/>
                <w:szCs w:val="20"/>
                <w:lang w:val="es-ES_tradnl"/>
              </w:rPr>
              <w:t>las temáticas esenciales que vertebran el debate constitucional europeo en el ámbito de la Unión Europea y en el de los Estados miembros, con particular atención a la garantía de los Derechos Fundamentales. El análisis del Derecho constitucional europeo debe servir no sólo para conocer mejor el proceso constitucional de la Unión Europea sino también para entender de manera más adecuada la realidad constitucional actual de los Estados miembros y las técnicas de realización de los Derechos Fundamentales en contextos de integración supranacional</w:t>
            </w:r>
            <w:r w:rsidRPr="008E21B2">
              <w:rPr>
                <w:rFonts w:ascii="TradeGothic LT" w:hAnsi="TradeGothic LT"/>
                <w:b/>
                <w:color w:val="000000"/>
                <w:sz w:val="20"/>
                <w:szCs w:val="20"/>
                <w:lang w:val="es-ES_tradnl"/>
              </w:rPr>
              <w:t>.</w:t>
            </w:r>
            <w:r w:rsidR="005F4371">
              <w:rPr>
                <w:rFonts w:ascii="TradeGothic LT" w:hAnsi="TradeGothic LT"/>
                <w:b/>
                <w:color w:val="000000"/>
                <w:sz w:val="20"/>
                <w:szCs w:val="20"/>
                <w:lang w:val="es-ES_tradnl"/>
              </w:rPr>
              <w:t xml:space="preserve"> </w:t>
            </w:r>
            <w:r w:rsidR="005F4371">
              <w:rPr>
                <w:rFonts w:ascii="TradeGothic LT" w:hAnsi="TradeGothic LT"/>
                <w:sz w:val="20"/>
                <w:szCs w:val="20"/>
              </w:rPr>
              <w:t>En especial, entender el significado de la igualdad en el Tratado y el derecho a la igualdad de la Carta.</w:t>
            </w:r>
          </w:p>
          <w:p w:rsidR="004A4813" w:rsidRPr="005F4371" w:rsidRDefault="004A4813" w:rsidP="004A4813">
            <w:pPr>
              <w:rPr>
                <w:rFonts w:ascii="TradeGothic LT" w:hAnsi="TradeGothic LT"/>
                <w:b/>
                <w:color w:val="000000"/>
                <w:sz w:val="20"/>
                <w:szCs w:val="20"/>
              </w:rPr>
            </w:pPr>
          </w:p>
          <w:p w:rsidR="008B2432" w:rsidRPr="00192D91" w:rsidRDefault="008B2432" w:rsidP="004A4813">
            <w:pPr>
              <w:rPr>
                <w:rFonts w:ascii="TradeGothic LT" w:hAnsi="TradeGothic LT"/>
                <w:sz w:val="20"/>
                <w:szCs w:val="20"/>
                <w:lang w:val="es-ES_tradnl"/>
              </w:rPr>
            </w:pPr>
          </w:p>
          <w:p w:rsidR="00CB0A2F" w:rsidRPr="00192D91" w:rsidRDefault="00CB0A2F" w:rsidP="004A4813">
            <w:pPr>
              <w:rPr>
                <w:rFonts w:ascii="TradeGothic LT" w:hAnsi="TradeGothic LT"/>
                <w:sz w:val="20"/>
                <w:szCs w:val="20"/>
                <w:lang w:val="es-ES_tradnl"/>
              </w:rPr>
            </w:pPr>
          </w:p>
          <w:p w:rsidR="00CB0A2F" w:rsidRPr="00192D91" w:rsidRDefault="00CB0A2F" w:rsidP="004A4813">
            <w:pPr>
              <w:rPr>
                <w:rFonts w:ascii="TradeGothic LT" w:hAnsi="TradeGothic LT"/>
                <w:sz w:val="20"/>
                <w:szCs w:val="20"/>
                <w:lang w:val="es-ES_tradnl"/>
              </w:rPr>
            </w:pPr>
          </w:p>
          <w:p w:rsidR="00CB0A2F" w:rsidRPr="00192D91" w:rsidRDefault="00CB0A2F" w:rsidP="004A4813">
            <w:pPr>
              <w:rPr>
                <w:rFonts w:ascii="TradeGothic LT" w:hAnsi="TradeGothic LT"/>
                <w:sz w:val="20"/>
                <w:szCs w:val="20"/>
              </w:rPr>
            </w:pPr>
          </w:p>
        </w:tc>
      </w:tr>
      <w:tr w:rsidR="007D525F" w:rsidTr="00192D91">
        <w:tc>
          <w:tcPr>
            <w:tcW w:w="10188" w:type="dxa"/>
            <w:gridSpan w:val="7"/>
            <w:vAlign w:val="center"/>
          </w:tcPr>
          <w:p w:rsidR="007D525F" w:rsidRDefault="00D70E07" w:rsidP="00651E0D">
            <w:r w:rsidRPr="00192D91">
              <w:rPr>
                <w:rFonts w:ascii="TradeGothic LT Bold" w:hAnsi="TradeGothic LT Bold"/>
                <w:sz w:val="20"/>
                <w:szCs w:val="20"/>
              </w:rPr>
              <w:t>TEMARIO DETALLADO DE LA ASIGNATURA</w:t>
            </w:r>
          </w:p>
        </w:tc>
      </w:tr>
      <w:tr w:rsidR="007D525F" w:rsidTr="00192D91">
        <w:tc>
          <w:tcPr>
            <w:tcW w:w="10188" w:type="dxa"/>
            <w:gridSpan w:val="7"/>
            <w:vAlign w:val="center"/>
          </w:tcPr>
          <w:p w:rsidR="00A504B1" w:rsidRDefault="00A504B1" w:rsidP="00192D91">
            <w:pPr>
              <w:jc w:val="both"/>
            </w:pPr>
          </w:p>
          <w:p w:rsidR="005415EE" w:rsidRDefault="005415EE" w:rsidP="005415EE">
            <w:pPr>
              <w:jc w:val="both"/>
            </w:pPr>
            <w:r>
              <w:t>1. ¿De qué hablamos cuando hablamos de igualdad</w:t>
            </w:r>
            <w:bookmarkStart w:id="0" w:name="_GoBack"/>
            <w:bookmarkEnd w:id="0"/>
            <w:r>
              <w:t>?</w:t>
            </w:r>
          </w:p>
          <w:p w:rsidR="005415EE" w:rsidRDefault="005415EE" w:rsidP="005415EE">
            <w:pPr>
              <w:jc w:val="both"/>
            </w:pPr>
            <w:r>
              <w:t>2. La igualdad originaria de los Tratados: la prohibición de discriminaciones entre nacionales de distintos Estados y la igualdad salarial de hombres y mujeres (art. 119TCE).</w:t>
            </w:r>
          </w:p>
          <w:p w:rsidR="005415EE" w:rsidRDefault="005415EE" w:rsidP="005415EE">
            <w:pPr>
              <w:jc w:val="both"/>
            </w:pPr>
            <w:r>
              <w:t>3. La igualdad en el Título III de la Carta:</w:t>
            </w:r>
          </w:p>
          <w:p w:rsidR="005415EE" w:rsidRDefault="005415EE" w:rsidP="005415EE">
            <w:pPr>
              <w:jc w:val="both"/>
            </w:pPr>
            <w:r>
              <w:t>3.1.  Igualdad ante la ley (art. 20).</w:t>
            </w:r>
          </w:p>
          <w:p w:rsidR="005415EE" w:rsidRDefault="005415EE" w:rsidP="005415EE">
            <w:pPr>
              <w:jc w:val="both"/>
            </w:pPr>
            <w:r>
              <w:t>3.2.  No discriminación (art. 21).</w:t>
            </w:r>
          </w:p>
          <w:p w:rsidR="005415EE" w:rsidRDefault="005415EE" w:rsidP="005415EE">
            <w:pPr>
              <w:jc w:val="both"/>
            </w:pPr>
            <w:r>
              <w:t>3.3.  Diversidad cultural, religiosa y lingüística (art. 22).</w:t>
            </w:r>
          </w:p>
          <w:p w:rsidR="005415EE" w:rsidRDefault="005415EE" w:rsidP="005415EE">
            <w:pPr>
              <w:jc w:val="both"/>
            </w:pPr>
            <w:r>
              <w:t>3.4. Igualdad entre hombres y mujeres (art. 23)</w:t>
            </w:r>
          </w:p>
          <w:p w:rsidR="005415EE" w:rsidRDefault="005415EE" w:rsidP="005415EE">
            <w:pPr>
              <w:jc w:val="both"/>
            </w:pPr>
            <w:r>
              <w:t xml:space="preserve">3.5. Derechos de colectivos especiales (art. 24-26): </w:t>
            </w:r>
          </w:p>
          <w:p w:rsidR="005415EE" w:rsidRDefault="005415EE" w:rsidP="005415EE">
            <w:pPr>
              <w:jc w:val="both"/>
            </w:pPr>
            <w:r>
              <w:tab/>
              <w:t xml:space="preserve">A. niños, </w:t>
            </w:r>
          </w:p>
          <w:p w:rsidR="005415EE" w:rsidRDefault="005415EE" w:rsidP="005415EE">
            <w:pPr>
              <w:jc w:val="both"/>
            </w:pPr>
            <w:r>
              <w:tab/>
              <w:t xml:space="preserve">B. mayores, </w:t>
            </w:r>
          </w:p>
          <w:p w:rsidR="00CB0A2F" w:rsidRDefault="005415EE" w:rsidP="005415EE">
            <w:pPr>
              <w:jc w:val="both"/>
            </w:pPr>
            <w:r>
              <w:tab/>
              <w:t>C. discapacitados.</w:t>
            </w:r>
          </w:p>
          <w:p w:rsidR="00CB0A2F" w:rsidRDefault="00CB0A2F" w:rsidP="00192D91">
            <w:pPr>
              <w:jc w:val="both"/>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t>BIBLIOGRAFÍA</w:t>
            </w:r>
          </w:p>
        </w:tc>
      </w:tr>
      <w:tr w:rsidR="007D525F" w:rsidTr="00192D91">
        <w:tc>
          <w:tcPr>
            <w:tcW w:w="10188" w:type="dxa"/>
            <w:gridSpan w:val="7"/>
            <w:vAlign w:val="center"/>
          </w:tcPr>
          <w:p w:rsidR="00A504B1" w:rsidRPr="00192D91" w:rsidRDefault="00A504B1" w:rsidP="00CB0A2F">
            <w:pPr>
              <w:rPr>
                <w:rFonts w:ascii="TradeGothic LT" w:hAnsi="TradeGothic LT"/>
                <w:sz w:val="20"/>
                <w:szCs w:val="20"/>
              </w:rPr>
            </w:pPr>
          </w:p>
          <w:p w:rsidR="00863CC8" w:rsidRPr="00863CC8" w:rsidRDefault="00863CC8" w:rsidP="00863CC8">
            <w:pPr>
              <w:rPr>
                <w:rFonts w:ascii="TradeGothic LT" w:hAnsi="TradeGothic LT"/>
                <w:sz w:val="20"/>
                <w:szCs w:val="20"/>
              </w:rPr>
            </w:pPr>
            <w:r>
              <w:rPr>
                <w:rFonts w:ascii="TradeGothic LT" w:hAnsi="TradeGothic LT"/>
                <w:sz w:val="20"/>
                <w:szCs w:val="20"/>
              </w:rPr>
              <w:t xml:space="preserve">- </w:t>
            </w:r>
            <w:r w:rsidRPr="00863CC8">
              <w:rPr>
                <w:rFonts w:ascii="TradeGothic LT" w:hAnsi="TradeGothic LT"/>
                <w:sz w:val="20"/>
                <w:szCs w:val="20"/>
              </w:rPr>
              <w:t>Francisco BALAGUER CALLEJÓN, "La configuración normativa de principios y derechos constitucionales en la Constitución europea", Revista de Derecho Constitucional Europeo, nº 4, Julio-Diciembre de 2005. http://www.ugr.es/~redce/</w:t>
            </w:r>
          </w:p>
          <w:p w:rsidR="00863CC8" w:rsidRPr="00863CC8" w:rsidRDefault="00863CC8" w:rsidP="00863CC8">
            <w:pPr>
              <w:rPr>
                <w:rFonts w:ascii="TradeGothic LT" w:hAnsi="TradeGothic LT"/>
                <w:sz w:val="20"/>
                <w:szCs w:val="20"/>
              </w:rPr>
            </w:pPr>
            <w:r w:rsidRPr="00863CC8">
              <w:rPr>
                <w:rFonts w:ascii="TradeGothic LT" w:hAnsi="TradeGothic LT"/>
                <w:sz w:val="20"/>
                <w:szCs w:val="20"/>
              </w:rPr>
              <w:t>- José DÍAZ LAFUENTE, "La protección de los derechos fundamentales frente a la discriminación por motivos de orientación sexual e identidad de género en la Unión Europea", Revista general de derecho constitucional, Nº. 17, 2013, pág. 3-15.</w:t>
            </w:r>
          </w:p>
          <w:p w:rsidR="00863CC8" w:rsidRPr="00863CC8" w:rsidRDefault="00863CC8" w:rsidP="00863CC8">
            <w:pPr>
              <w:rPr>
                <w:rFonts w:ascii="TradeGothic LT" w:hAnsi="TradeGothic LT"/>
                <w:sz w:val="20"/>
                <w:szCs w:val="20"/>
              </w:rPr>
            </w:pPr>
            <w:r w:rsidRPr="00863CC8">
              <w:rPr>
                <w:rFonts w:ascii="TradeGothic LT" w:hAnsi="TradeGothic LT"/>
                <w:sz w:val="20"/>
                <w:szCs w:val="20"/>
              </w:rPr>
              <w:t>- Antonio LÓPEZ PINA, “Derecho Europeo y principio constitucional de igualdad. El Tratado de la Unión ante la prueba de las tradiciones constitucionales”, ReDCE, núm-4, enero de 2006, págs. 123-136.</w:t>
            </w:r>
          </w:p>
          <w:p w:rsidR="00863CC8" w:rsidRDefault="00863CC8" w:rsidP="00863CC8">
            <w:pPr>
              <w:rPr>
                <w:rFonts w:ascii="TradeGothic LT" w:hAnsi="TradeGothic LT"/>
                <w:sz w:val="20"/>
                <w:szCs w:val="20"/>
              </w:rPr>
            </w:pPr>
            <w:r w:rsidRPr="00863CC8">
              <w:rPr>
                <w:rFonts w:ascii="TradeGothic LT" w:hAnsi="TradeGothic LT"/>
                <w:sz w:val="20"/>
                <w:szCs w:val="20"/>
              </w:rPr>
              <w:t>- Araceli MANGAS MARTÍN  (dir.) Carta de los derechos fundamentales de la Unión Europea. Comentario artículo por artículo, BBVA, Bilbao, 2008.</w:t>
            </w:r>
          </w:p>
          <w:p w:rsidR="00863CC8" w:rsidRPr="00863CC8" w:rsidRDefault="00863CC8" w:rsidP="00863CC8">
            <w:pPr>
              <w:rPr>
                <w:rFonts w:ascii="TradeGothic LT" w:hAnsi="TradeGothic LT"/>
                <w:sz w:val="20"/>
                <w:szCs w:val="20"/>
              </w:rPr>
            </w:pPr>
            <w:r w:rsidRPr="00863CC8">
              <w:rPr>
                <w:rFonts w:ascii="TradeGothic LT" w:hAnsi="TradeGothic LT"/>
                <w:sz w:val="20"/>
                <w:szCs w:val="20"/>
              </w:rPr>
              <w:t>Miren Josune PÉREZ ESTRADA, “La igualdad ante la ley: derecho de los ciudadanos a igual protección de la ley”, La Carta de los Derechos Fundamental de la Unión Europea y su reflejo en el ordenamiento jurídico español: Europar Batasunaren oinarrizko eskubideen gutuna eta bere islada espainiar ordenamendu juridikoan, 2014, págs. 361-372.</w:t>
            </w:r>
          </w:p>
          <w:p w:rsidR="00863CC8" w:rsidRPr="00863CC8" w:rsidRDefault="00863CC8" w:rsidP="00863CC8">
            <w:pPr>
              <w:rPr>
                <w:rFonts w:ascii="TradeGothic LT" w:hAnsi="TradeGothic LT"/>
                <w:sz w:val="20"/>
                <w:szCs w:val="20"/>
              </w:rPr>
            </w:pPr>
            <w:r w:rsidRPr="00863CC8">
              <w:rPr>
                <w:rFonts w:ascii="TradeGothic LT" w:hAnsi="TradeGothic LT"/>
                <w:sz w:val="20"/>
                <w:szCs w:val="20"/>
              </w:rPr>
              <w:t>- Alberto VESPAZIANI, “La igualdad en Europa”, ReDCE, núm.4, enero de 2006, págs. 137-152.</w:t>
            </w:r>
          </w:p>
          <w:p w:rsidR="00863CC8" w:rsidRPr="00863CC8" w:rsidRDefault="00863CC8" w:rsidP="00863CC8">
            <w:pPr>
              <w:rPr>
                <w:rFonts w:ascii="TradeGothic LT" w:hAnsi="TradeGothic LT"/>
                <w:sz w:val="20"/>
                <w:szCs w:val="20"/>
              </w:rPr>
            </w:pPr>
            <w:r w:rsidRPr="00863CC8">
              <w:rPr>
                <w:rFonts w:ascii="TradeGothic LT" w:hAnsi="TradeGothic LT"/>
                <w:sz w:val="20"/>
                <w:szCs w:val="20"/>
              </w:rPr>
              <w:t>- Elena PEREDA LAGARTOS, "Igualdad y Unión Europea", Revista jurídica Universidad Autónoma de Madrid,, Nº. 21, 2010, págs. 269-274</w:t>
            </w:r>
          </w:p>
          <w:p w:rsidR="002D6126" w:rsidRPr="00192D91" w:rsidRDefault="00863CC8" w:rsidP="00863CC8">
            <w:pPr>
              <w:rPr>
                <w:rFonts w:ascii="TradeGothic LT" w:hAnsi="TradeGothic LT"/>
                <w:sz w:val="20"/>
                <w:szCs w:val="20"/>
              </w:rPr>
            </w:pPr>
            <w:r w:rsidRPr="00863CC8">
              <w:rPr>
                <w:rFonts w:ascii="TradeGothic LT" w:hAnsi="TradeGothic LT"/>
                <w:sz w:val="20"/>
                <w:szCs w:val="20"/>
              </w:rPr>
              <w:t>- Margarita RODRÍGUEZ GARCÍA, "Sobre la igualdad entre hombres y mujeres en la Unión Europea: la resolución del Parlamento Europeo, de 8 de marzo de 2011", Anuario de la Facultad de Derecho, Nº. 4, 2011, págs. 379-390.</w:t>
            </w:r>
          </w:p>
          <w:p w:rsidR="00CB0A2F" w:rsidRPr="00192D91" w:rsidRDefault="00CB0A2F" w:rsidP="00CB0A2F">
            <w:pPr>
              <w:rPr>
                <w:rFonts w:ascii="TradeGothic LT" w:hAnsi="TradeGothic LT"/>
                <w:sz w:val="20"/>
                <w:szCs w:val="20"/>
              </w:rPr>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t>ENLACES RECOMENDADOS</w:t>
            </w:r>
          </w:p>
        </w:tc>
      </w:tr>
      <w:tr w:rsidR="007D525F" w:rsidRPr="00192D91" w:rsidTr="00192D91">
        <w:tc>
          <w:tcPr>
            <w:tcW w:w="10188" w:type="dxa"/>
            <w:gridSpan w:val="7"/>
            <w:vAlign w:val="center"/>
          </w:tcPr>
          <w:p w:rsidR="001F239B" w:rsidRDefault="00777391" w:rsidP="00651E0D">
            <w:pPr>
              <w:rPr>
                <w:rFonts w:ascii="TradeGothic LT" w:hAnsi="TradeGothic LT"/>
                <w:sz w:val="20"/>
                <w:szCs w:val="20"/>
              </w:rPr>
            </w:pPr>
            <w:r w:rsidRPr="00777391">
              <w:rPr>
                <w:rFonts w:ascii="TradeGothic LT" w:hAnsi="TradeGothic LT"/>
                <w:sz w:val="20"/>
                <w:szCs w:val="20"/>
              </w:rPr>
              <w:t xml:space="preserve">Revista de Derecho Constitucional Europeo: </w:t>
            </w:r>
            <w:hyperlink r:id="rId7" w:history="1">
              <w:r w:rsidR="00E36426" w:rsidRPr="004D3DB0">
                <w:rPr>
                  <w:rStyle w:val="Hipervnculo"/>
                  <w:rFonts w:ascii="TradeGothic LT" w:hAnsi="TradeGothic LT"/>
                  <w:sz w:val="20"/>
                  <w:szCs w:val="20"/>
                </w:rPr>
                <w:t>http://www.ugr.es/~redce/</w:t>
              </w:r>
            </w:hyperlink>
          </w:p>
          <w:p w:rsidR="00E36426" w:rsidRPr="00192D91" w:rsidRDefault="00E36426" w:rsidP="00651E0D">
            <w:pPr>
              <w:rPr>
                <w:rFonts w:ascii="TradeGothic LT" w:hAnsi="TradeGothic LT"/>
                <w:sz w:val="20"/>
                <w:szCs w:val="20"/>
              </w:rPr>
            </w:pPr>
            <w:r>
              <w:rPr>
                <w:rFonts w:ascii="TradeGothic LT" w:hAnsi="TradeGothic LT"/>
                <w:sz w:val="20"/>
                <w:szCs w:val="20"/>
              </w:rPr>
              <w:t xml:space="preserve">Página oficial de la Unión: </w:t>
            </w:r>
            <w:r w:rsidRPr="00E36426">
              <w:rPr>
                <w:rFonts w:ascii="TradeGothic LT" w:hAnsi="TradeGothic LT"/>
                <w:sz w:val="20"/>
                <w:szCs w:val="20"/>
              </w:rPr>
              <w:t>http://europa.eu/index_es.htm</w:t>
            </w:r>
          </w:p>
          <w:p w:rsidR="00CB0A2F" w:rsidRPr="00192D91" w:rsidRDefault="00863CC8" w:rsidP="00651E0D">
            <w:pPr>
              <w:rPr>
                <w:rFonts w:ascii="TradeGothic LT" w:hAnsi="TradeGothic LT"/>
                <w:sz w:val="20"/>
                <w:szCs w:val="20"/>
              </w:rPr>
            </w:pPr>
            <w:r>
              <w:rPr>
                <w:rFonts w:ascii="TradeGothic LT" w:hAnsi="TradeGothic LT"/>
                <w:sz w:val="20"/>
                <w:szCs w:val="20"/>
              </w:rPr>
              <w:t xml:space="preserve">El Derecho de la Unión Europea: </w:t>
            </w:r>
            <w:r w:rsidRPr="00863CC8">
              <w:rPr>
                <w:rFonts w:ascii="TradeGothic LT" w:hAnsi="TradeGothic LT"/>
                <w:sz w:val="20"/>
                <w:szCs w:val="20"/>
              </w:rPr>
              <w:t>http://eur-lex.europa.eu/homepage.html</w:t>
            </w:r>
          </w:p>
          <w:p w:rsidR="002D6126" w:rsidRPr="00777391" w:rsidRDefault="002D6126" w:rsidP="00651E0D">
            <w:pPr>
              <w:rPr>
                <w:rFonts w:ascii="TradeGothic LT" w:hAnsi="TradeGothic LT"/>
                <w:sz w:val="20"/>
                <w:szCs w:val="20"/>
              </w:rPr>
            </w:pPr>
          </w:p>
          <w:p w:rsidR="002D6126" w:rsidRPr="00777391" w:rsidRDefault="002D6126" w:rsidP="00651E0D">
            <w:pPr>
              <w:rPr>
                <w:rFonts w:ascii="TradeGothic LT" w:hAnsi="TradeGothic LT"/>
                <w:sz w:val="20"/>
                <w:szCs w:val="20"/>
              </w:rPr>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lastRenderedPageBreak/>
              <w:t>METODOLOGÍA DOCENTE</w:t>
            </w:r>
          </w:p>
        </w:tc>
      </w:tr>
      <w:tr w:rsidR="007D525F" w:rsidTr="00192D91">
        <w:tc>
          <w:tcPr>
            <w:tcW w:w="10188" w:type="dxa"/>
            <w:gridSpan w:val="7"/>
            <w:vAlign w:val="center"/>
          </w:tcPr>
          <w:p w:rsidR="007F1C5B" w:rsidRPr="007F1C5B" w:rsidRDefault="00777391" w:rsidP="007F1C5B">
            <w:pPr>
              <w:rPr>
                <w:rFonts w:ascii="TradeGothic LT" w:hAnsi="TradeGothic LT"/>
                <w:sz w:val="20"/>
                <w:szCs w:val="20"/>
              </w:rPr>
            </w:pPr>
            <w:r w:rsidRPr="00777391">
              <w:rPr>
                <w:rFonts w:ascii="TradeGothic LT" w:hAnsi="TradeGothic LT"/>
                <w:sz w:val="20"/>
                <w:szCs w:val="20"/>
              </w:rPr>
              <w:t>El método de estudio de una asignatura virtual es diferente del correspondiente a una asignatura presencial. El estudio a través de los métodos de enseñanza virtual es más autónomo, por lo que exige un ejercicio responsable del tiempo para poder cumplir con los objetivos de programación que el profesor ha diseñado. Igualmente, es fundamental que se adopte una actitud participativa, de tal manera que las orientaciones del profesor puedan sean percibidas como estímulos para avanzar en el manejo propio de los recursos disponibles, especialmente a través de Internet, y en la búsqueda de fuentes de información en relación con las temáticas</w:t>
            </w:r>
            <w:r w:rsidR="007F1C5B">
              <w:rPr>
                <w:rFonts w:ascii="TradeGothic LT" w:hAnsi="TradeGothic LT"/>
                <w:sz w:val="20"/>
                <w:szCs w:val="20"/>
              </w:rPr>
              <w:t xml:space="preserve"> </w:t>
            </w:r>
            <w:r w:rsidR="007F1C5B" w:rsidRPr="007F1C5B">
              <w:rPr>
                <w:rFonts w:ascii="TradeGothic LT" w:hAnsi="TradeGothic LT"/>
                <w:sz w:val="20"/>
                <w:szCs w:val="20"/>
              </w:rPr>
              <w:t>que se proponen para la realización de actividades y para el debate conjunto que se realizará a través de la plataforma.</w:t>
            </w:r>
          </w:p>
          <w:p w:rsidR="007F1C5B" w:rsidRPr="007F1C5B" w:rsidRDefault="007F1C5B" w:rsidP="007F1C5B">
            <w:pPr>
              <w:rPr>
                <w:rFonts w:ascii="TradeGothic LT" w:hAnsi="TradeGothic LT"/>
                <w:sz w:val="20"/>
                <w:szCs w:val="20"/>
              </w:rPr>
            </w:pPr>
          </w:p>
          <w:p w:rsidR="007F1C5B" w:rsidRPr="007F1C5B" w:rsidRDefault="007F1C5B" w:rsidP="007F1C5B">
            <w:pPr>
              <w:rPr>
                <w:rFonts w:ascii="TradeGothic LT" w:hAnsi="TradeGothic LT"/>
                <w:sz w:val="20"/>
                <w:szCs w:val="20"/>
              </w:rPr>
            </w:pPr>
            <w:r w:rsidRPr="007F1C5B">
              <w:rPr>
                <w:rFonts w:ascii="TradeGothic LT" w:hAnsi="TradeGothic LT"/>
                <w:sz w:val="20"/>
                <w:szCs w:val="20"/>
              </w:rPr>
              <w:t>El diseño de los materiales en este curso y la programación del estudio se han realizado desde la perspectiva de la continua interacción teoría-práctica. De ese modo, la lectura de los temas no es una mera experiencia teórica sino que sirve de base para la reflexión y la realización de las actividades posteriores. Es en esas actividades donde se podrán aplicar los conocimientos adquiridos previamente mediante la lectura de los temas y se podrán desarrollar y exponer opiniones propias en relación con las materias que son objeto del curso.</w:t>
            </w:r>
          </w:p>
          <w:p w:rsidR="007F1C5B" w:rsidRPr="007F1C5B" w:rsidRDefault="007F1C5B" w:rsidP="007F1C5B">
            <w:pPr>
              <w:rPr>
                <w:rFonts w:ascii="TradeGothic LT" w:hAnsi="TradeGothic LT"/>
                <w:sz w:val="20"/>
                <w:szCs w:val="20"/>
              </w:rPr>
            </w:pPr>
          </w:p>
          <w:p w:rsidR="00CB0A2F" w:rsidRPr="00192D91" w:rsidRDefault="007F1C5B" w:rsidP="007F1C5B">
            <w:pPr>
              <w:rPr>
                <w:rFonts w:ascii="TradeGothic LT" w:hAnsi="TradeGothic LT"/>
                <w:sz w:val="20"/>
                <w:szCs w:val="20"/>
              </w:rPr>
            </w:pPr>
            <w:r w:rsidRPr="007F1C5B">
              <w:rPr>
                <w:rFonts w:ascii="TradeGothic LT" w:hAnsi="TradeGothic LT"/>
                <w:sz w:val="20"/>
                <w:szCs w:val="20"/>
              </w:rPr>
              <w:t>Los instrumentos que pone a nuestra disposición el CEVUG (acceso al Temario, Foros, Correo interno, Autoevaluaciones) serán utilizados de acuerdo con la programación de la enseñanza que se establece a través del Calendario. El uso de las técnicas disponibles debe hacer posible que al final del curso, sus participantes puedan decir que han aprendido realmente y que tienen una motivación mayor para reflexionar en el futuro sobre las cuestiones que han sido objeto del curso. Por otro lado, en una asignatura tan relacionada con cuestiones de actualidad, las prácticas se diseñarán teniendo en cuenta esta vertiente, con objeto de fomentar el interés en relación con las cuestiones que estén siendo abordadas en los medios de comunicación durante el curso.</w:t>
            </w:r>
          </w:p>
          <w:p w:rsidR="00CB0A2F" w:rsidRPr="00192D91" w:rsidRDefault="00CB0A2F" w:rsidP="00683321">
            <w:pPr>
              <w:rPr>
                <w:rFonts w:ascii="TradeGothic LT" w:hAnsi="TradeGothic LT"/>
                <w:b/>
                <w:sz w:val="20"/>
                <w:szCs w:val="20"/>
              </w:rPr>
            </w:pPr>
          </w:p>
          <w:p w:rsidR="00CB0A2F" w:rsidRPr="00192D91" w:rsidRDefault="00CB0A2F" w:rsidP="00683321">
            <w:pPr>
              <w:rPr>
                <w:rFonts w:ascii="TradeGothic LT" w:hAnsi="TradeGothic LT"/>
                <w:sz w:val="20"/>
                <w:szCs w:val="20"/>
              </w:rPr>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t xml:space="preserve">EVALUACIÓN (INSTRUMENTOS DE EVALUACIÓN, CRITERIOS DE EVALUACIÓN Y PORCENTAJE SOBRE </w:t>
            </w:r>
            <w:smartTag w:uri="urn:schemas-microsoft-com:office:smarttags" w:element="PersonName">
              <w:smartTagPr>
                <w:attr w:name="ProductID" w:val="LA CALIFICACIￓN FINAL"/>
              </w:smartTagPr>
              <w:smartTag w:uri="urn:schemas-microsoft-com:office:smarttags" w:element="PersonName">
                <w:smartTagPr>
                  <w:attr w:name="ProductID" w:val="LA CALIFICACIￓN"/>
                </w:smartTagPr>
                <w:r w:rsidRPr="00192D91">
                  <w:rPr>
                    <w:rFonts w:ascii="TradeGothic LT Bold" w:hAnsi="TradeGothic LT Bold"/>
                    <w:sz w:val="20"/>
                    <w:szCs w:val="20"/>
                  </w:rPr>
                  <w:t>LA CALIFICACIÓN</w:t>
                </w:r>
              </w:smartTag>
              <w:r w:rsidRPr="00192D91">
                <w:rPr>
                  <w:rFonts w:ascii="TradeGothic LT Bold" w:hAnsi="TradeGothic LT Bold"/>
                  <w:sz w:val="20"/>
                  <w:szCs w:val="20"/>
                </w:rPr>
                <w:t xml:space="preserve"> FINAL</w:t>
              </w:r>
            </w:smartTag>
            <w:r w:rsidRPr="00192D91">
              <w:rPr>
                <w:rFonts w:ascii="TradeGothic LT Bold" w:hAnsi="TradeGothic LT Bold"/>
                <w:sz w:val="20"/>
                <w:szCs w:val="20"/>
              </w:rPr>
              <w:t>, ETC.)</w:t>
            </w:r>
          </w:p>
        </w:tc>
      </w:tr>
      <w:tr w:rsidR="007D525F" w:rsidTr="00192D91">
        <w:tc>
          <w:tcPr>
            <w:tcW w:w="10188" w:type="dxa"/>
            <w:gridSpan w:val="7"/>
            <w:vAlign w:val="center"/>
          </w:tcPr>
          <w:p w:rsidR="007F1C5B" w:rsidRPr="007F1C5B" w:rsidRDefault="007F1C5B" w:rsidP="007F1C5B">
            <w:pPr>
              <w:rPr>
                <w:rFonts w:ascii="TradeGothic LT" w:hAnsi="TradeGothic LT"/>
                <w:sz w:val="20"/>
                <w:szCs w:val="20"/>
              </w:rPr>
            </w:pPr>
            <w:r w:rsidRPr="007F1C5B">
              <w:rPr>
                <w:rFonts w:ascii="TradeGothic LT" w:hAnsi="TradeGothic LT"/>
                <w:sz w:val="20"/>
                <w:szCs w:val="20"/>
              </w:rPr>
              <w:t>La evaluación de la asignatura se basa en la realización de las actividades propias de la enseñanza virtual. Entre esas actividades se pueden mencionar el acceso a los contenidos de la materia a través de la plataforma (en la página del CEVUG de la Universidad de Granada), la participación activa en los Foros que se organicen, así como la entrega de las prácticas y trabajos programados. La superación del curso está condicionada, en todo caso, a la exposición de un trabajo a través de videoconferencia y la respuesta adecuada a las observaciones, comentarios y preguntas que se realicen.</w:t>
            </w:r>
          </w:p>
          <w:p w:rsidR="007F1C5B" w:rsidRPr="007F1C5B" w:rsidRDefault="007F1C5B" w:rsidP="007F1C5B">
            <w:pPr>
              <w:rPr>
                <w:rFonts w:ascii="TradeGothic LT" w:hAnsi="TradeGothic LT"/>
                <w:sz w:val="20"/>
                <w:szCs w:val="20"/>
              </w:rPr>
            </w:pPr>
            <w:r w:rsidRPr="007F1C5B">
              <w:rPr>
                <w:rFonts w:ascii="TradeGothic LT" w:hAnsi="TradeGothic LT"/>
                <w:sz w:val="20"/>
                <w:szCs w:val="20"/>
              </w:rPr>
              <w:t xml:space="preserve"> </w:t>
            </w:r>
          </w:p>
          <w:p w:rsidR="00683321" w:rsidRDefault="007F1C5B" w:rsidP="007F1C5B">
            <w:pPr>
              <w:rPr>
                <w:rFonts w:ascii="TradeGothic LT" w:hAnsi="TradeGothic LT"/>
                <w:sz w:val="20"/>
                <w:szCs w:val="20"/>
              </w:rPr>
            </w:pPr>
            <w:r w:rsidRPr="007F1C5B">
              <w:rPr>
                <w:rFonts w:ascii="TradeGothic LT" w:hAnsi="TradeGothic LT"/>
                <w:sz w:val="20"/>
                <w:szCs w:val="20"/>
              </w:rPr>
              <w:t>Las personas matriculadas en el curso podrán disponer de instrumentos de autoevaluación de los conocimientos adquiridos. Pero deben tener en cuenta, en todo momento, que el curso no está orientado a la mera difusión de conocimientos sino a la promoción de una reflexión propia y personal en quienes participan en él sobre las temáticas específicas que se abordan en los diversos Capítulos. Esta capacidad de reflexión personal es lo que más se valorará a lo largo del curso tanto en la realización de los trabajos cuanto en la participación en los Foros y en la exposición del trabajo final.</w:t>
            </w:r>
          </w:p>
          <w:p w:rsidR="009D34F1" w:rsidRPr="009D34F1" w:rsidRDefault="009D34F1" w:rsidP="009D34F1">
            <w:pPr>
              <w:rPr>
                <w:rFonts w:ascii="TradeGothic LT" w:hAnsi="TradeGothic LT"/>
                <w:sz w:val="20"/>
                <w:szCs w:val="20"/>
              </w:rPr>
            </w:pPr>
          </w:p>
          <w:p w:rsidR="009D34F1" w:rsidRPr="009D34F1" w:rsidRDefault="009D34F1" w:rsidP="009D34F1">
            <w:pPr>
              <w:rPr>
                <w:rFonts w:ascii="TradeGothic LT" w:hAnsi="TradeGothic L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1"/>
              <w:gridCol w:w="2280"/>
              <w:gridCol w:w="3432"/>
            </w:tblGrid>
            <w:tr w:rsidR="009D34F1" w:rsidRPr="009D34F1" w:rsidTr="000A496A">
              <w:trPr>
                <w:jc w:val="center"/>
              </w:trPr>
              <w:tc>
                <w:tcPr>
                  <w:tcW w:w="2911" w:type="dxa"/>
                  <w:shd w:val="clear" w:color="auto" w:fill="C0C0C0"/>
                </w:tcPr>
                <w:p w:rsidR="009D34F1" w:rsidRPr="009D34F1" w:rsidRDefault="009D34F1" w:rsidP="009D34F1">
                  <w:pPr>
                    <w:rPr>
                      <w:rFonts w:ascii="TradeGothic LT" w:hAnsi="TradeGothic LT"/>
                      <w:sz w:val="20"/>
                      <w:szCs w:val="20"/>
                    </w:rPr>
                  </w:pPr>
                  <w:r w:rsidRPr="009D34F1">
                    <w:rPr>
                      <w:rFonts w:ascii="TradeGothic LT" w:hAnsi="TradeGothic LT"/>
                      <w:sz w:val="20"/>
                      <w:szCs w:val="20"/>
                    </w:rPr>
                    <w:t>ACTIVIDAD</w:t>
                  </w:r>
                </w:p>
              </w:tc>
              <w:tc>
                <w:tcPr>
                  <w:tcW w:w="2280" w:type="dxa"/>
                  <w:shd w:val="clear" w:color="auto" w:fill="C0C0C0"/>
                </w:tcPr>
                <w:p w:rsidR="009D34F1" w:rsidRPr="009D34F1" w:rsidRDefault="009D34F1" w:rsidP="009D34F1">
                  <w:pPr>
                    <w:rPr>
                      <w:rFonts w:ascii="TradeGothic LT" w:hAnsi="TradeGothic LT"/>
                      <w:sz w:val="20"/>
                      <w:szCs w:val="20"/>
                    </w:rPr>
                  </w:pPr>
                  <w:r w:rsidRPr="009D34F1">
                    <w:rPr>
                      <w:rFonts w:ascii="TradeGothic LT" w:hAnsi="TradeGothic LT"/>
                      <w:sz w:val="20"/>
                      <w:szCs w:val="20"/>
                    </w:rPr>
                    <w:t>Ponderación Mínima</w:t>
                  </w:r>
                </w:p>
              </w:tc>
              <w:tc>
                <w:tcPr>
                  <w:tcW w:w="3432" w:type="dxa"/>
                  <w:shd w:val="clear" w:color="auto" w:fill="C0C0C0"/>
                </w:tcPr>
                <w:p w:rsidR="009D34F1" w:rsidRPr="009D34F1" w:rsidRDefault="009D34F1" w:rsidP="009D34F1">
                  <w:pPr>
                    <w:rPr>
                      <w:rFonts w:ascii="TradeGothic LT" w:hAnsi="TradeGothic LT"/>
                      <w:sz w:val="20"/>
                      <w:szCs w:val="20"/>
                    </w:rPr>
                  </w:pPr>
                  <w:r w:rsidRPr="009D34F1">
                    <w:rPr>
                      <w:rFonts w:ascii="TradeGothic LT" w:hAnsi="TradeGothic LT"/>
                      <w:sz w:val="20"/>
                      <w:szCs w:val="20"/>
                    </w:rPr>
                    <w:t>Ponderación Máxima</w:t>
                  </w:r>
                </w:p>
              </w:tc>
            </w:tr>
            <w:tr w:rsidR="009D34F1" w:rsidRPr="009D34F1" w:rsidTr="000A496A">
              <w:trPr>
                <w:jc w:val="center"/>
              </w:trPr>
              <w:tc>
                <w:tcPr>
                  <w:tcW w:w="2911"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lastRenderedPageBreak/>
                    <w:t>Lectura de materiales y resolución de problemas de forma individual</w:t>
                  </w:r>
                </w:p>
              </w:tc>
              <w:tc>
                <w:tcPr>
                  <w:tcW w:w="2280"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t>05 %</w:t>
                  </w:r>
                </w:p>
              </w:tc>
              <w:tc>
                <w:tcPr>
                  <w:tcW w:w="3432"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t>10 %</w:t>
                  </w:r>
                </w:p>
              </w:tc>
            </w:tr>
            <w:tr w:rsidR="009D34F1" w:rsidRPr="009D34F1" w:rsidTr="000A496A">
              <w:trPr>
                <w:jc w:val="center"/>
              </w:trPr>
              <w:tc>
                <w:tcPr>
                  <w:tcW w:w="2911"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t>Valoración final de la exposición del trabajo mediante videoconferencia</w:t>
                  </w:r>
                </w:p>
              </w:tc>
              <w:tc>
                <w:tcPr>
                  <w:tcW w:w="2280"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t>30 %</w:t>
                  </w:r>
                </w:p>
              </w:tc>
              <w:tc>
                <w:tcPr>
                  <w:tcW w:w="3432"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t>60 %</w:t>
                  </w:r>
                </w:p>
              </w:tc>
            </w:tr>
            <w:tr w:rsidR="009D34F1" w:rsidRPr="009D34F1" w:rsidTr="000A496A">
              <w:trPr>
                <w:jc w:val="center"/>
              </w:trPr>
              <w:tc>
                <w:tcPr>
                  <w:tcW w:w="2911"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t>Pruebas escritas (de autoevaluación o participación en foros)</w:t>
                  </w:r>
                </w:p>
              </w:tc>
              <w:tc>
                <w:tcPr>
                  <w:tcW w:w="2280"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t>10 %</w:t>
                  </w:r>
                </w:p>
              </w:tc>
              <w:tc>
                <w:tcPr>
                  <w:tcW w:w="3432"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t>20 %</w:t>
                  </w:r>
                </w:p>
              </w:tc>
            </w:tr>
            <w:tr w:rsidR="009D34F1" w:rsidRPr="009D34F1" w:rsidTr="000A496A">
              <w:trPr>
                <w:jc w:val="center"/>
              </w:trPr>
              <w:tc>
                <w:tcPr>
                  <w:tcW w:w="2911"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t>Aportaciones y actitud personal</w:t>
                  </w:r>
                </w:p>
              </w:tc>
              <w:tc>
                <w:tcPr>
                  <w:tcW w:w="2280"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t>05 %</w:t>
                  </w:r>
                </w:p>
              </w:tc>
              <w:tc>
                <w:tcPr>
                  <w:tcW w:w="3432" w:type="dxa"/>
                </w:tcPr>
                <w:p w:rsidR="009D34F1" w:rsidRPr="009D34F1" w:rsidRDefault="009D34F1" w:rsidP="009D34F1">
                  <w:pPr>
                    <w:rPr>
                      <w:rFonts w:ascii="TradeGothic LT" w:hAnsi="TradeGothic LT"/>
                      <w:sz w:val="20"/>
                      <w:szCs w:val="20"/>
                    </w:rPr>
                  </w:pPr>
                  <w:r w:rsidRPr="009D34F1">
                    <w:rPr>
                      <w:rFonts w:ascii="TradeGothic LT" w:hAnsi="TradeGothic LT"/>
                      <w:sz w:val="20"/>
                      <w:szCs w:val="20"/>
                    </w:rPr>
                    <w:t>10 %</w:t>
                  </w:r>
                </w:p>
              </w:tc>
            </w:tr>
          </w:tbl>
          <w:p w:rsidR="007F1C5B" w:rsidRPr="00192D91" w:rsidRDefault="007F1C5B" w:rsidP="007F1C5B">
            <w:pPr>
              <w:rPr>
                <w:rFonts w:ascii="TradeGothic LT" w:hAnsi="TradeGothic LT"/>
                <w:sz w:val="20"/>
                <w:szCs w:val="20"/>
              </w:rPr>
            </w:pPr>
          </w:p>
          <w:p w:rsidR="002D6126" w:rsidRPr="00192D91" w:rsidRDefault="002D6126" w:rsidP="00CB0A2F">
            <w:pPr>
              <w:rPr>
                <w:rFonts w:ascii="TradeGothic LT" w:hAnsi="TradeGothic LT"/>
                <w:sz w:val="20"/>
                <w:szCs w:val="20"/>
              </w:rPr>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lastRenderedPageBreak/>
              <w:t>INFORMACIÓN ADICIONAL</w:t>
            </w:r>
          </w:p>
        </w:tc>
      </w:tr>
      <w:tr w:rsidR="007D525F" w:rsidTr="00192D91">
        <w:tc>
          <w:tcPr>
            <w:tcW w:w="10188" w:type="dxa"/>
            <w:gridSpan w:val="7"/>
            <w:vAlign w:val="center"/>
          </w:tcPr>
          <w:p w:rsidR="009D34F1" w:rsidRDefault="009D34F1" w:rsidP="009D34F1"/>
        </w:tc>
      </w:tr>
    </w:tbl>
    <w:p w:rsidR="000F2A25" w:rsidRDefault="000F2A25" w:rsidP="00191C26"/>
    <w:sectPr w:rsidR="000F2A25" w:rsidSect="002D1EAA">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0735" w:rsidRDefault="001D0735">
      <w:r>
        <w:separator/>
      </w:r>
    </w:p>
  </w:endnote>
  <w:endnote w:type="continuationSeparator" w:id="0">
    <w:p w:rsidR="001D0735" w:rsidRDefault="001D07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w:altName w:val="Trebuchet MS"/>
    <w:charset w:val="00"/>
    <w:family w:val="auto"/>
    <w:pitch w:val="variable"/>
    <w:sig w:usb0="80000027" w:usb1="00000000" w:usb2="00000000" w:usb3="00000000" w:csb0="00000001" w:csb1="00000000"/>
  </w:font>
  <w:font w:name="TradeGothic LT Bold">
    <w:altName w:val="Bernard MT Condensed"/>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embedRegular r:id="rId1" w:subsetted="1" w:fontKey="{C82E205F-48B2-48F3-8FB3-3EB418B2FD1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2" w:fontKey="{46E19CDE-4CC3-4180-AEE4-82AA103DDAAA}"/>
  </w:font>
  <w:font w:name="Calibri">
    <w:panose1 w:val="020F0502020204030204"/>
    <w:charset w:val="00"/>
    <w:family w:val="swiss"/>
    <w:pitch w:val="variable"/>
    <w:sig w:usb0="E00002FF" w:usb1="4000ACFF" w:usb2="00000001" w:usb3="00000000" w:csb0="0000019F" w:csb1="00000000"/>
    <w:embedRegular r:id="rId3" w:fontKey="{9C1190F5-BDA5-4295-995C-4A09CF54F7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0F2" w:rsidRDefault="00BC60F2" w:rsidP="00CE2C38">
    <w:pPr>
      <w:pStyle w:val="Piedepgina"/>
      <w:tabs>
        <w:tab w:val="clear" w:pos="4252"/>
        <w:tab w:val="clear" w:pos="8504"/>
        <w:tab w:val="left" w:pos="780"/>
      </w:tabs>
      <w:ind w:left="-900"/>
    </w:pPr>
    <w:r>
      <w:tab/>
    </w:r>
    <w:r w:rsidR="00840AB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2.95pt;height:101.2pt">
          <v:imagedata r:id="rId1" o:title=""/>
        </v:shape>
      </w:pict>
    </w:r>
  </w:p>
  <w:p w:rsidR="00BC60F2" w:rsidRDefault="00BC60F2" w:rsidP="00390560">
    <w:pPr>
      <w:pStyle w:val="Piedepgina"/>
      <w:ind w:left="-900"/>
    </w:pPr>
  </w:p>
  <w:p w:rsidR="00BC60F2" w:rsidRDefault="0045199F" w:rsidP="00390560">
    <w:pPr>
      <w:pStyle w:val="Piedepgina"/>
      <w:ind w:left="-900"/>
    </w:pPr>
    <w:r>
      <w:rPr>
        <w:noProof/>
      </w:rPr>
      <w:pict>
        <v:shapetype id="_x0000_t202" coordsize="21600,21600" o:spt="202" path="m,l,21600r21600,l21600,xe">
          <v:stroke joinstyle="miter"/>
          <v:path gradientshapeok="t" o:connecttype="rect"/>
        </v:shapetype>
        <v:shape id="_x0000_s2051" type="#_x0000_t202" style="position:absolute;left:0;text-align:left;margin-left:4in;margin-top:14.7pt;width:2in;height:18pt;z-index:251657728" filled="f" stroked="f">
          <v:textbox>
            <w:txbxContent>
              <w:p w:rsidR="00BC60F2" w:rsidRPr="009F0090" w:rsidRDefault="00BC60F2" w:rsidP="009F00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45199F"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PAGE </w:instrText>
                </w:r>
                <w:r w:rsidR="0045199F" w:rsidRPr="009F0090">
                  <w:rPr>
                    <w:rStyle w:val="Nmerodepgina"/>
                    <w:rFonts w:ascii="TradeGothic LT Bold" w:hAnsi="TradeGothic LT Bold"/>
                    <w:color w:val="FFFFFF"/>
                    <w:sz w:val="16"/>
                    <w:szCs w:val="16"/>
                  </w:rPr>
                  <w:fldChar w:fldCharType="separate"/>
                </w:r>
                <w:r w:rsidR="00840ABE">
                  <w:rPr>
                    <w:rStyle w:val="Nmerodepgina"/>
                    <w:rFonts w:ascii="TradeGothic LT Bold" w:hAnsi="TradeGothic LT Bold"/>
                    <w:noProof/>
                    <w:color w:val="FFFFFF"/>
                    <w:sz w:val="16"/>
                    <w:szCs w:val="16"/>
                  </w:rPr>
                  <w:t>1</w:t>
                </w:r>
                <w:r w:rsidR="0045199F" w:rsidRPr="009F0090">
                  <w:rPr>
                    <w:rStyle w:val="Nmerodepgina"/>
                    <w:rFonts w:ascii="TradeGothic LT Bold" w:hAnsi="TradeGothic LT Bold"/>
                    <w:color w:val="FFFFFF"/>
                    <w:sz w:val="16"/>
                    <w:szCs w:val="16"/>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0735" w:rsidRDefault="001D0735">
      <w:r>
        <w:separator/>
      </w:r>
    </w:p>
  </w:footnote>
  <w:footnote w:type="continuationSeparator" w:id="0">
    <w:p w:rsidR="001D0735" w:rsidRDefault="001D073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60F2" w:rsidRDefault="0045199F" w:rsidP="00BB75DE">
    <w:pPr>
      <w:pStyle w:val="Encabezado"/>
      <w:tabs>
        <w:tab w:val="clear" w:pos="8504"/>
        <w:tab w:val="right" w:pos="9000"/>
      </w:tabs>
      <w:ind w:left="-7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4.35pt">
          <v:imagedata r:id="rId1" o:title="cabecera-fichas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65634D"/>
    <w:multiLevelType w:val="hybridMultilevel"/>
    <w:tmpl w:val="9F60D7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40AD788E"/>
    <w:multiLevelType w:val="singleLevel"/>
    <w:tmpl w:val="475858E2"/>
    <w:lvl w:ilvl="0">
      <w:start w:val="1"/>
      <w:numFmt w:val="upperLetter"/>
      <w:lvlText w:val="%1."/>
      <w:lvlJc w:val="left"/>
      <w:pPr>
        <w:tabs>
          <w:tab w:val="num" w:pos="720"/>
        </w:tabs>
        <w:ind w:left="720" w:hanging="360"/>
      </w:pPr>
      <w:rPr>
        <w:rFonts w:hint="default"/>
      </w:rPr>
    </w:lvl>
  </w:abstractNum>
  <w:abstractNum w:abstractNumId="3">
    <w:nsid w:val="4EED1CB6"/>
    <w:multiLevelType w:val="hybridMultilevel"/>
    <w:tmpl w:val="62C824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nsid w:val="669F3B77"/>
    <w:multiLevelType w:val="hybridMultilevel"/>
    <w:tmpl w:val="C658B9E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2"/>
  </w:num>
  <w:num w:numId="6">
    <w:abstractNumId w:val="3"/>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embedTrueTypeFonts/>
  <w:stylePaneFormatFilter w:val="3F01"/>
  <w:doNotTrackMoves/>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90560"/>
    <w:rsid w:val="000129B4"/>
    <w:rsid w:val="000174BD"/>
    <w:rsid w:val="00040BE6"/>
    <w:rsid w:val="00071DD7"/>
    <w:rsid w:val="0009494A"/>
    <w:rsid w:val="000A28D0"/>
    <w:rsid w:val="000B11CE"/>
    <w:rsid w:val="000D2ADA"/>
    <w:rsid w:val="000F2A25"/>
    <w:rsid w:val="001025CC"/>
    <w:rsid w:val="00122E5A"/>
    <w:rsid w:val="00191C26"/>
    <w:rsid w:val="00192D91"/>
    <w:rsid w:val="001A793E"/>
    <w:rsid w:val="001D0735"/>
    <w:rsid w:val="001F239B"/>
    <w:rsid w:val="001F46BA"/>
    <w:rsid w:val="001F4B81"/>
    <w:rsid w:val="00206DC8"/>
    <w:rsid w:val="002503EE"/>
    <w:rsid w:val="0025775B"/>
    <w:rsid w:val="002602B2"/>
    <w:rsid w:val="00261822"/>
    <w:rsid w:val="00290CF3"/>
    <w:rsid w:val="002A63DB"/>
    <w:rsid w:val="002C5FC5"/>
    <w:rsid w:val="002D1EAA"/>
    <w:rsid w:val="002D6126"/>
    <w:rsid w:val="002E00C4"/>
    <w:rsid w:val="00300BED"/>
    <w:rsid w:val="00301E23"/>
    <w:rsid w:val="00316F2A"/>
    <w:rsid w:val="0035497F"/>
    <w:rsid w:val="003720F2"/>
    <w:rsid w:val="00390560"/>
    <w:rsid w:val="003B2897"/>
    <w:rsid w:val="003C77C5"/>
    <w:rsid w:val="004030CA"/>
    <w:rsid w:val="004301F5"/>
    <w:rsid w:val="00432BDE"/>
    <w:rsid w:val="00435C9A"/>
    <w:rsid w:val="00442E6D"/>
    <w:rsid w:val="00445F56"/>
    <w:rsid w:val="0045199F"/>
    <w:rsid w:val="004579C9"/>
    <w:rsid w:val="004646B9"/>
    <w:rsid w:val="00470C1D"/>
    <w:rsid w:val="00491874"/>
    <w:rsid w:val="004A4813"/>
    <w:rsid w:val="004B628D"/>
    <w:rsid w:val="004E5C82"/>
    <w:rsid w:val="0050137A"/>
    <w:rsid w:val="00520BCD"/>
    <w:rsid w:val="005415EE"/>
    <w:rsid w:val="0055671B"/>
    <w:rsid w:val="00567981"/>
    <w:rsid w:val="00590CB5"/>
    <w:rsid w:val="005B049A"/>
    <w:rsid w:val="005B1594"/>
    <w:rsid w:val="005D4FEE"/>
    <w:rsid w:val="005F1E2A"/>
    <w:rsid w:val="005F22A7"/>
    <w:rsid w:val="005F2610"/>
    <w:rsid w:val="005F4371"/>
    <w:rsid w:val="0061285A"/>
    <w:rsid w:val="00632822"/>
    <w:rsid w:val="00642F6D"/>
    <w:rsid w:val="00651E0D"/>
    <w:rsid w:val="006724FD"/>
    <w:rsid w:val="00672814"/>
    <w:rsid w:val="00673C93"/>
    <w:rsid w:val="00683321"/>
    <w:rsid w:val="0068587E"/>
    <w:rsid w:val="006A7EE2"/>
    <w:rsid w:val="006B65C3"/>
    <w:rsid w:val="006F2424"/>
    <w:rsid w:val="00705E11"/>
    <w:rsid w:val="0070779D"/>
    <w:rsid w:val="00715BBB"/>
    <w:rsid w:val="007372B4"/>
    <w:rsid w:val="007733E4"/>
    <w:rsid w:val="00777391"/>
    <w:rsid w:val="007C212B"/>
    <w:rsid w:val="007D525F"/>
    <w:rsid w:val="007D71BA"/>
    <w:rsid w:val="007E12B6"/>
    <w:rsid w:val="007F1C5B"/>
    <w:rsid w:val="007F402F"/>
    <w:rsid w:val="007F4377"/>
    <w:rsid w:val="008110EF"/>
    <w:rsid w:val="00812377"/>
    <w:rsid w:val="0081683D"/>
    <w:rsid w:val="0082001A"/>
    <w:rsid w:val="008335A3"/>
    <w:rsid w:val="00837C13"/>
    <w:rsid w:val="00840ABE"/>
    <w:rsid w:val="008503B8"/>
    <w:rsid w:val="0086364A"/>
    <w:rsid w:val="00863CC8"/>
    <w:rsid w:val="00863DF3"/>
    <w:rsid w:val="0086520D"/>
    <w:rsid w:val="008B2432"/>
    <w:rsid w:val="008B5740"/>
    <w:rsid w:val="008B7488"/>
    <w:rsid w:val="008E21B2"/>
    <w:rsid w:val="008F7215"/>
    <w:rsid w:val="00922C17"/>
    <w:rsid w:val="0099189F"/>
    <w:rsid w:val="009A2E08"/>
    <w:rsid w:val="009D34F1"/>
    <w:rsid w:val="009F0090"/>
    <w:rsid w:val="009F43E1"/>
    <w:rsid w:val="00A10D2E"/>
    <w:rsid w:val="00A43703"/>
    <w:rsid w:val="00A504B1"/>
    <w:rsid w:val="00A60DB0"/>
    <w:rsid w:val="00AA511A"/>
    <w:rsid w:val="00AB0F26"/>
    <w:rsid w:val="00AB697A"/>
    <w:rsid w:val="00AD0EC0"/>
    <w:rsid w:val="00AD43F9"/>
    <w:rsid w:val="00AE67AC"/>
    <w:rsid w:val="00AE73A9"/>
    <w:rsid w:val="00AF12A9"/>
    <w:rsid w:val="00AF70AE"/>
    <w:rsid w:val="00B1330C"/>
    <w:rsid w:val="00B26C1A"/>
    <w:rsid w:val="00B54AEE"/>
    <w:rsid w:val="00B61C63"/>
    <w:rsid w:val="00B96B75"/>
    <w:rsid w:val="00BB75DE"/>
    <w:rsid w:val="00BC60F2"/>
    <w:rsid w:val="00BE00A5"/>
    <w:rsid w:val="00BF7966"/>
    <w:rsid w:val="00BF7F40"/>
    <w:rsid w:val="00C11CD2"/>
    <w:rsid w:val="00C22D9F"/>
    <w:rsid w:val="00C25906"/>
    <w:rsid w:val="00C4715F"/>
    <w:rsid w:val="00C47CC4"/>
    <w:rsid w:val="00C522BC"/>
    <w:rsid w:val="00C558EC"/>
    <w:rsid w:val="00C63847"/>
    <w:rsid w:val="00C73E36"/>
    <w:rsid w:val="00C76A01"/>
    <w:rsid w:val="00C87E22"/>
    <w:rsid w:val="00CA0387"/>
    <w:rsid w:val="00CB0A2F"/>
    <w:rsid w:val="00CC1FD3"/>
    <w:rsid w:val="00CC3C92"/>
    <w:rsid w:val="00CD6B36"/>
    <w:rsid w:val="00CE2C38"/>
    <w:rsid w:val="00CF5D86"/>
    <w:rsid w:val="00D36959"/>
    <w:rsid w:val="00D54C48"/>
    <w:rsid w:val="00D62BBB"/>
    <w:rsid w:val="00D70E07"/>
    <w:rsid w:val="00DA71C4"/>
    <w:rsid w:val="00DB2628"/>
    <w:rsid w:val="00DB3B65"/>
    <w:rsid w:val="00DD373B"/>
    <w:rsid w:val="00DF1CB5"/>
    <w:rsid w:val="00E1189A"/>
    <w:rsid w:val="00E212CB"/>
    <w:rsid w:val="00E36426"/>
    <w:rsid w:val="00E37A8E"/>
    <w:rsid w:val="00E53273"/>
    <w:rsid w:val="00E55A7A"/>
    <w:rsid w:val="00E82D2B"/>
    <w:rsid w:val="00EA6F88"/>
    <w:rsid w:val="00ED02DC"/>
    <w:rsid w:val="00ED2C30"/>
    <w:rsid w:val="00EE0842"/>
    <w:rsid w:val="00F23FCF"/>
    <w:rsid w:val="00F31737"/>
    <w:rsid w:val="00F32164"/>
    <w:rsid w:val="00F66DEA"/>
    <w:rsid w:val="00F802BE"/>
    <w:rsid w:val="00FB2DD7"/>
    <w:rsid w:val="00FB602B"/>
    <w:rsid w:val="00FD59CD"/>
    <w:rsid w:val="00FD79EB"/>
    <w:rsid w:val="00FE344C"/>
    <w:rsid w:val="00FF3E02"/>
    <w:rsid w:val="00FF5557"/>
  </w:rsids>
  <m:mathPr>
    <m:mathFont m:val="Cambria Math"/>
    <m:brkBin m:val="before"/>
    <m:brkBinSub m:val="--"/>
    <m:smallFrac m:val="off"/>
    <m:dispDef/>
    <m:lMargin m:val="0"/>
    <m:rMargin m:val="0"/>
    <m:defJc m:val="centerGroup"/>
    <m:wrapIndent m:val="1440"/>
    <m:intLim m:val="subSup"/>
    <m:naryLim m:val="undOvr"/>
  </m:mathPr>
  <w:uiCompat97To2003/>
  <w:themeFontLang w:val="es-E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25775B"/>
    <w:rPr>
      <w:color w:val="0000FF"/>
      <w:u w:val="single"/>
    </w:rPr>
  </w:style>
  <w:style w:type="character" w:styleId="Nmerodepgina">
    <w:name w:val="page number"/>
    <w:basedOn w:val="Fuentedeprrafopredeter"/>
    <w:rsid w:val="00B133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38071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ugr.es/~redce/" TargetMode="Externa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1544</Words>
  <Characters>8821</Characters>
  <Application>Microsoft Office Word</Application>
  <DocSecurity>4</DocSecurity>
  <Lines>73</Lines>
  <Paragraphs>20</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10345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cp:lastModifiedBy>malillo</cp:lastModifiedBy>
  <cp:revision>2</cp:revision>
  <cp:lastPrinted>2010-06-21T08:30:00Z</cp:lastPrinted>
  <dcterms:created xsi:type="dcterms:W3CDTF">2016-04-26T11:28:00Z</dcterms:created>
  <dcterms:modified xsi:type="dcterms:W3CDTF">2016-04-26T11:28:00Z</dcterms:modified>
</cp:coreProperties>
</file>