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4" w:rsidRDefault="00CE72CE" w:rsidP="002F47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36pt;margin-top:0;width:39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Ue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" filled="f" stroked="f">
            <v:textbox inset="0,0,0,0">
              <w:txbxContent>
                <w:p w:rsidR="002F4724" w:rsidRPr="00673C93" w:rsidRDefault="002F4724" w:rsidP="002F4724">
                  <w:pPr>
                    <w:spacing w:line="280" w:lineRule="exact"/>
                    <w:rPr>
                      <w:rFonts w:ascii="TradeGothic LT" w:hAnsi="TradeGothic LT"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="TradeGothic LT" w:hAnsi="TradeGothic LT"/>
                      <w:spacing w:val="-8"/>
                      <w:sz w:val="18"/>
                      <w:szCs w:val="18"/>
                    </w:rPr>
                    <w:t>GUIA DOCENTE</w:t>
                  </w:r>
                  <w:r w:rsidRPr="00673C93">
                    <w:rPr>
                      <w:rFonts w:ascii="TradeGothic LT" w:hAnsi="TradeGothic LT"/>
                      <w:spacing w:val="-8"/>
                      <w:sz w:val="18"/>
                      <w:szCs w:val="18"/>
                    </w:rPr>
                    <w:t xml:space="preserve"> DE LA </w:t>
                  </w:r>
                  <w:r>
                    <w:rPr>
                      <w:rFonts w:ascii="TradeGothic LT" w:hAnsi="TradeGothic LT"/>
                      <w:spacing w:val="-8"/>
                      <w:sz w:val="18"/>
                      <w:szCs w:val="18"/>
                    </w:rPr>
                    <w:t>ASIGNATURA</w:t>
                  </w:r>
                </w:p>
                <w:p w:rsidR="002F4724" w:rsidRDefault="002F4724" w:rsidP="002F4724">
                  <w:pPr>
                    <w:spacing w:line="600" w:lineRule="exact"/>
                    <w:rPr>
                      <w:rFonts w:ascii="TradeGothic LT" w:hAnsi="TradeGothic LT"/>
                      <w:sz w:val="32"/>
                      <w:szCs w:val="32"/>
                    </w:rPr>
                  </w:pPr>
                </w:p>
                <w:p w:rsidR="002F4724" w:rsidRDefault="002F4724" w:rsidP="002F4724"/>
              </w:txbxContent>
            </v:textbox>
          </v:shape>
        </w:pict>
      </w:r>
      <w:r w:rsidRPr="00CE72CE">
        <w:rPr>
          <w:rFonts w:ascii="TradeGothic LT Bold" w:hAnsi="TradeGothic LT Bold"/>
          <w:noProof/>
          <w:sz w:val="16"/>
          <w:szCs w:val="16"/>
        </w:rPr>
        <w:pict>
          <v:shape id="Text Box 14" o:spid="_x0000_s1027" type="#_x0000_t202" style="position:absolute;margin-left:-36pt;margin-top:18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+Crg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" filled="f" stroked="f">
            <v:textbox inset="0,0,0,0">
              <w:txbxContent>
                <w:p w:rsidR="002F4724" w:rsidRPr="00CB0A2F" w:rsidRDefault="002F4724" w:rsidP="002F4724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Derechos y Libertades inherentes a la persona</w:t>
                  </w:r>
                </w:p>
              </w:txbxContent>
            </v:textbox>
          </v:shape>
        </w:pict>
      </w:r>
    </w:p>
    <w:p w:rsidR="002F4724" w:rsidRDefault="002F4724" w:rsidP="002F4724"/>
    <w:p w:rsidR="002F4724" w:rsidRDefault="002F4724" w:rsidP="002F4724"/>
    <w:p w:rsidR="002F4724" w:rsidRDefault="00CE72CE" w:rsidP="002F4724">
      <w:r w:rsidRPr="00CE72CE">
        <w:rPr>
          <w:noProof/>
          <w:color w:val="FF0000"/>
        </w:rPr>
        <w:pict>
          <v:line id="Line 7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" strokecolor="red" strokeweight="1pt"/>
        </w:pict>
      </w:r>
    </w:p>
    <w:p w:rsidR="002F4724" w:rsidRDefault="002F4724" w:rsidP="002F4724"/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1679"/>
        <w:gridCol w:w="1701"/>
        <w:gridCol w:w="2187"/>
        <w:gridCol w:w="680"/>
        <w:gridCol w:w="960"/>
        <w:gridCol w:w="1276"/>
        <w:gridCol w:w="1705"/>
      </w:tblGrid>
      <w:tr w:rsidR="002F4724" w:rsidTr="006D443E">
        <w:tc>
          <w:tcPr>
            <w:tcW w:w="1679" w:type="dxa"/>
            <w:vAlign w:val="center"/>
          </w:tcPr>
          <w:p w:rsidR="002F4724" w:rsidRDefault="002F4724" w:rsidP="006D443E">
            <w:pPr>
              <w:jc w:val="center"/>
            </w:pPr>
            <w:r w:rsidRPr="00192D91">
              <w:rPr>
                <w:rFonts w:ascii="TradeGothic LT Bold" w:hAnsi="TradeGothic LT Bold"/>
                <w:sz w:val="20"/>
                <w:szCs w:val="20"/>
              </w:rPr>
              <w:t>MÓDULO</w:t>
            </w:r>
          </w:p>
        </w:tc>
        <w:tc>
          <w:tcPr>
            <w:tcW w:w="1701" w:type="dxa"/>
            <w:vAlign w:val="center"/>
          </w:tcPr>
          <w:p w:rsidR="002F4724" w:rsidRDefault="002F4724" w:rsidP="006D443E">
            <w:pPr>
              <w:jc w:val="center"/>
            </w:pPr>
            <w:r w:rsidRPr="00192D91">
              <w:rPr>
                <w:rFonts w:ascii="TradeGothic LT Bold" w:hAnsi="TradeGothic LT Bold"/>
                <w:sz w:val="20"/>
                <w:szCs w:val="20"/>
              </w:rPr>
              <w:t>MATERIA</w:t>
            </w:r>
          </w:p>
        </w:tc>
        <w:tc>
          <w:tcPr>
            <w:tcW w:w="2187" w:type="dxa"/>
            <w:vAlign w:val="center"/>
          </w:tcPr>
          <w:p w:rsidR="002F4724" w:rsidRDefault="002F4724" w:rsidP="006D443E">
            <w:pPr>
              <w:jc w:val="center"/>
            </w:pPr>
            <w:r w:rsidRPr="00192D91">
              <w:rPr>
                <w:rFonts w:ascii="TradeGothic LT Bold" w:hAnsi="TradeGothic LT Bold"/>
                <w:sz w:val="20"/>
                <w:szCs w:val="20"/>
              </w:rPr>
              <w:t>ASIGNATURA</w:t>
            </w:r>
          </w:p>
        </w:tc>
        <w:tc>
          <w:tcPr>
            <w:tcW w:w="680" w:type="dxa"/>
            <w:vAlign w:val="center"/>
          </w:tcPr>
          <w:p w:rsidR="002F4724" w:rsidRDefault="002F4724" w:rsidP="006D443E">
            <w:pPr>
              <w:jc w:val="center"/>
            </w:pPr>
            <w:r w:rsidRPr="00192D91">
              <w:rPr>
                <w:rFonts w:ascii="TradeGothic LT Bold" w:hAnsi="TradeGothic LT Bold"/>
                <w:sz w:val="20"/>
                <w:szCs w:val="20"/>
              </w:rPr>
              <w:t>CURSO</w:t>
            </w:r>
          </w:p>
        </w:tc>
        <w:tc>
          <w:tcPr>
            <w:tcW w:w="960" w:type="dxa"/>
            <w:vAlign w:val="center"/>
          </w:tcPr>
          <w:p w:rsidR="002F4724" w:rsidRDefault="002F4724" w:rsidP="006D443E">
            <w:pPr>
              <w:jc w:val="center"/>
            </w:pPr>
            <w:r w:rsidRPr="00192D91">
              <w:rPr>
                <w:rFonts w:ascii="TradeGothic LT Bold" w:hAnsi="TradeGothic LT Bold"/>
                <w:sz w:val="20"/>
                <w:szCs w:val="20"/>
              </w:rPr>
              <w:t>SEMESTRE</w:t>
            </w:r>
          </w:p>
        </w:tc>
        <w:tc>
          <w:tcPr>
            <w:tcW w:w="1276" w:type="dxa"/>
            <w:vAlign w:val="center"/>
          </w:tcPr>
          <w:p w:rsidR="002F4724" w:rsidRDefault="002F4724" w:rsidP="006D443E">
            <w:pPr>
              <w:jc w:val="center"/>
            </w:pPr>
            <w:r w:rsidRPr="00192D91">
              <w:rPr>
                <w:rFonts w:ascii="TradeGothic LT Bold" w:hAnsi="TradeGothic LT Bold"/>
                <w:sz w:val="20"/>
                <w:szCs w:val="20"/>
              </w:rPr>
              <w:t>CRÉDITOS</w:t>
            </w:r>
          </w:p>
        </w:tc>
        <w:tc>
          <w:tcPr>
            <w:tcW w:w="1705" w:type="dxa"/>
            <w:vAlign w:val="center"/>
          </w:tcPr>
          <w:p w:rsidR="002F4724" w:rsidRDefault="002F4724" w:rsidP="006D443E">
            <w:pPr>
              <w:jc w:val="center"/>
            </w:pPr>
            <w:r w:rsidRPr="00192D91">
              <w:rPr>
                <w:rFonts w:ascii="TradeGothic LT Bold" w:hAnsi="TradeGothic LT Bold"/>
                <w:sz w:val="20"/>
                <w:szCs w:val="20"/>
              </w:rPr>
              <w:t>CARÁCTER</w:t>
            </w:r>
          </w:p>
        </w:tc>
      </w:tr>
      <w:tr w:rsidR="002F4724" w:rsidTr="006D443E">
        <w:tc>
          <w:tcPr>
            <w:tcW w:w="1679" w:type="dxa"/>
            <w:vAlign w:val="center"/>
          </w:tcPr>
          <w:p w:rsidR="002F4724" w:rsidRDefault="002F4724" w:rsidP="006D443E">
            <w:r>
              <w:t>MÓDULO III</w:t>
            </w:r>
          </w:p>
          <w:p w:rsidR="002F4724" w:rsidRDefault="002F4724" w:rsidP="006D443E">
            <w:r>
              <w:t>FORMACIÓN OBLIGATO-RIA</w:t>
            </w:r>
          </w:p>
        </w:tc>
        <w:tc>
          <w:tcPr>
            <w:tcW w:w="1701" w:type="dxa"/>
            <w:vAlign w:val="center"/>
          </w:tcPr>
          <w:p w:rsidR="002F4724" w:rsidRDefault="002F4724" w:rsidP="006D443E">
            <w:r>
              <w:t>DERECHOS Y LIBERTADES INHERENTES A LA PERSONA</w:t>
            </w:r>
          </w:p>
        </w:tc>
        <w:tc>
          <w:tcPr>
            <w:tcW w:w="2187" w:type="dxa"/>
            <w:vAlign w:val="center"/>
          </w:tcPr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t>DERECHOS Y LIBERTADES INHERENTES A LA PERSONA</w:t>
            </w:r>
          </w:p>
        </w:tc>
        <w:tc>
          <w:tcPr>
            <w:tcW w:w="680" w:type="dxa"/>
            <w:vAlign w:val="center"/>
          </w:tcPr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2016-2017</w:t>
            </w:r>
          </w:p>
        </w:tc>
        <w:tc>
          <w:tcPr>
            <w:tcW w:w="960" w:type="dxa"/>
            <w:vAlign w:val="center"/>
          </w:tcPr>
          <w:p w:rsidR="002F4724" w:rsidRPr="00192D91" w:rsidRDefault="00CD2066" w:rsidP="00CD2066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Segundo</w:t>
            </w:r>
          </w:p>
        </w:tc>
        <w:tc>
          <w:tcPr>
            <w:tcW w:w="1276" w:type="dxa"/>
            <w:vAlign w:val="center"/>
          </w:tcPr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Obligatoria</w:t>
            </w:r>
          </w:p>
        </w:tc>
      </w:tr>
      <w:tr w:rsidR="002F4724" w:rsidTr="006D443E">
        <w:tc>
          <w:tcPr>
            <w:tcW w:w="5567" w:type="dxa"/>
            <w:gridSpan w:val="3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t>PROFESOR(ES)</w:t>
            </w:r>
          </w:p>
        </w:tc>
        <w:tc>
          <w:tcPr>
            <w:tcW w:w="4621" w:type="dxa"/>
            <w:gridSpan w:val="4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t>DIRECCIÓN COMPLETA DE CONTACTO PARA TUTORÍAS (Dirección postal, teléfono, correo electrónico, etc.)</w:t>
            </w:r>
          </w:p>
        </w:tc>
      </w:tr>
      <w:tr w:rsidR="002F4724" w:rsidRPr="00CD2066" w:rsidTr="006D443E">
        <w:tc>
          <w:tcPr>
            <w:tcW w:w="5567" w:type="dxa"/>
            <w:gridSpan w:val="3"/>
            <w:vMerge w:val="restart"/>
            <w:vAlign w:val="center"/>
          </w:tcPr>
          <w:p w:rsidR="002F4724" w:rsidRDefault="002F4724" w:rsidP="006D443E">
            <w:r>
              <w:t>Dr. José Mª Porras Ramírez. Catedrático de Derecho Constitucional de la Universidad de Granada.</w:t>
            </w:r>
          </w:p>
          <w:p w:rsidR="002F4724" w:rsidRDefault="002F4724" w:rsidP="006D443E">
            <w:r>
              <w:t>Dr. José Sánchez López. Profesor Titular de Derecho Constitucional de la Universidad de Granada.</w:t>
            </w:r>
          </w:p>
        </w:tc>
        <w:tc>
          <w:tcPr>
            <w:tcW w:w="4621" w:type="dxa"/>
            <w:gridSpan w:val="4"/>
            <w:vAlign w:val="center"/>
          </w:tcPr>
          <w:p w:rsidR="002F4724" w:rsidRDefault="002F4724" w:rsidP="006D443E">
            <w:r>
              <w:t>Departamento de Derecho Constitucional.</w:t>
            </w:r>
          </w:p>
          <w:p w:rsidR="002F4724" w:rsidRDefault="002F4724" w:rsidP="006D443E">
            <w:r>
              <w:t xml:space="preserve">Facultad de Derecho. Plaza de la Universidad s/n 18001. Granada (España). Tfno. +34958246293. E-mail: </w:t>
            </w:r>
            <w:hyperlink r:id="rId7" w:history="1">
              <w:r w:rsidRPr="008868C8">
                <w:rPr>
                  <w:rStyle w:val="Hipervnculo"/>
                </w:rPr>
                <w:t>jmporras@ugr.es</w:t>
              </w:r>
            </w:hyperlink>
            <w:r>
              <w:t xml:space="preserve"> y jslopez@ugr.es</w:t>
            </w:r>
          </w:p>
          <w:p w:rsidR="002F4724" w:rsidRPr="00ED6407" w:rsidRDefault="002F4724" w:rsidP="006D443E">
            <w:pPr>
              <w:rPr>
                <w:lang w:val="en-US"/>
              </w:rPr>
            </w:pPr>
            <w:r w:rsidRPr="00ED6407">
              <w:rPr>
                <w:lang w:val="en-US"/>
              </w:rPr>
              <w:t xml:space="preserve">Web </w:t>
            </w:r>
            <w:proofErr w:type="spellStart"/>
            <w:r w:rsidRPr="00ED6407">
              <w:rPr>
                <w:lang w:val="en-US"/>
              </w:rPr>
              <w:t>Dtpo</w:t>
            </w:r>
            <w:proofErr w:type="spellEnd"/>
            <w:r w:rsidRPr="00ED6407">
              <w:rPr>
                <w:lang w:val="en-US"/>
              </w:rPr>
              <w:t xml:space="preserve">.: </w:t>
            </w:r>
            <w:hyperlink r:id="rId8" w:history="1">
              <w:r w:rsidRPr="00ED6407">
                <w:rPr>
                  <w:rStyle w:val="Hipervnculo"/>
                  <w:lang w:val="en-US"/>
                </w:rPr>
                <w:t>http://constitucional</w:t>
              </w:r>
            </w:hyperlink>
            <w:r w:rsidRPr="00ED6407">
              <w:rPr>
                <w:lang w:val="en-US"/>
              </w:rPr>
              <w:t>.ugr.es/</w:t>
            </w:r>
          </w:p>
        </w:tc>
      </w:tr>
      <w:tr w:rsidR="002F4724" w:rsidTr="006D443E">
        <w:tc>
          <w:tcPr>
            <w:tcW w:w="5567" w:type="dxa"/>
            <w:gridSpan w:val="3"/>
            <w:vMerge/>
            <w:vAlign w:val="center"/>
          </w:tcPr>
          <w:p w:rsidR="002F4724" w:rsidRPr="00ED6407" w:rsidRDefault="002F4724" w:rsidP="006D443E">
            <w:pPr>
              <w:rPr>
                <w:lang w:val="en-US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2F4724" w:rsidRDefault="002F4724" w:rsidP="006D443E">
            <w:pPr>
              <w:rPr>
                <w:rFonts w:ascii="TradeGothic LT Bold" w:hAnsi="TradeGothic LT Bold"/>
                <w:sz w:val="20"/>
                <w:szCs w:val="20"/>
              </w:rPr>
            </w:pPr>
            <w:r w:rsidRPr="00192D91">
              <w:rPr>
                <w:rFonts w:ascii="TradeGothic LT Bold" w:hAnsi="TradeGothic LT Bold"/>
                <w:sz w:val="20"/>
                <w:szCs w:val="20"/>
              </w:rPr>
              <w:t>HORARIO DE TUTORÍAS</w:t>
            </w:r>
          </w:p>
          <w:p w:rsidR="002F4724" w:rsidRDefault="002F4724" w:rsidP="006D443E">
            <w:pPr>
              <w:rPr>
                <w:rFonts w:ascii="TradeGothic LT Bold" w:hAnsi="TradeGothic LT Bold"/>
                <w:sz w:val="20"/>
                <w:szCs w:val="20"/>
              </w:rPr>
            </w:pPr>
          </w:p>
          <w:p w:rsidR="002F4724" w:rsidRPr="00ED6407" w:rsidRDefault="002F4724" w:rsidP="006D443E">
            <w:r w:rsidRPr="00ED6407">
              <w:rPr>
                <w:rFonts w:ascii="TradeGothic LT Bold" w:hAnsi="TradeGothic LT Bold"/>
                <w:sz w:val="20"/>
                <w:szCs w:val="20"/>
              </w:rPr>
              <w:t>Se realizarán a través del correo electr</w:t>
            </w:r>
            <w:r>
              <w:rPr>
                <w:rFonts w:ascii="TradeGothic LT Bold" w:hAnsi="TradeGothic LT Bold"/>
                <w:sz w:val="20"/>
                <w:szCs w:val="20"/>
              </w:rPr>
              <w:t>ónico d</w:t>
            </w:r>
            <w:r w:rsidRPr="00ED6407">
              <w:rPr>
                <w:rFonts w:ascii="TradeGothic LT Bold" w:hAnsi="TradeGothic LT Bold"/>
                <w:sz w:val="20"/>
                <w:szCs w:val="20"/>
              </w:rPr>
              <w:t>e</w:t>
            </w:r>
            <w:r>
              <w:rPr>
                <w:rFonts w:ascii="TradeGothic LT Bold" w:hAnsi="TradeGothic LT Bold"/>
                <w:sz w:val="20"/>
                <w:szCs w:val="20"/>
              </w:rPr>
              <w:t xml:space="preserve"> </w:t>
            </w:r>
            <w:r w:rsidRPr="00ED6407">
              <w:rPr>
                <w:rFonts w:ascii="TradeGothic LT Bold" w:hAnsi="TradeGothic LT Bold"/>
                <w:sz w:val="20"/>
                <w:szCs w:val="20"/>
              </w:rPr>
              <w:t>la plataforma</w:t>
            </w:r>
          </w:p>
        </w:tc>
      </w:tr>
      <w:tr w:rsidR="002F4724" w:rsidTr="006D443E">
        <w:tc>
          <w:tcPr>
            <w:tcW w:w="5567" w:type="dxa"/>
            <w:gridSpan w:val="3"/>
            <w:vMerge/>
            <w:vAlign w:val="center"/>
          </w:tcPr>
          <w:p w:rsidR="002F4724" w:rsidRDefault="002F4724" w:rsidP="006D443E"/>
        </w:tc>
        <w:tc>
          <w:tcPr>
            <w:tcW w:w="4621" w:type="dxa"/>
            <w:gridSpan w:val="4"/>
            <w:vAlign w:val="center"/>
          </w:tcPr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</w:tc>
      </w:tr>
      <w:tr w:rsidR="002F4724" w:rsidTr="006D443E">
        <w:tc>
          <w:tcPr>
            <w:tcW w:w="5567" w:type="dxa"/>
            <w:gridSpan w:val="3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t>MÁSTER  EN EL QUE SE IMPARTE</w:t>
            </w:r>
          </w:p>
        </w:tc>
        <w:tc>
          <w:tcPr>
            <w:tcW w:w="4621" w:type="dxa"/>
            <w:gridSpan w:val="4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t>OTROS MÁSTERES A LOS QUE SE PODRÍA OFERTAR</w:t>
            </w:r>
          </w:p>
        </w:tc>
      </w:tr>
      <w:tr w:rsidR="002F4724" w:rsidTr="006D443E">
        <w:tc>
          <w:tcPr>
            <w:tcW w:w="5567" w:type="dxa"/>
            <w:gridSpan w:val="3"/>
            <w:vAlign w:val="center"/>
          </w:tcPr>
          <w:p w:rsidR="002F4724" w:rsidRDefault="002F4724" w:rsidP="006D443E">
            <w:r>
              <w:t>Máster Oficial en Derechos Fundamentales, en perspectiva nacional, supranacional y global</w:t>
            </w:r>
          </w:p>
        </w:tc>
        <w:tc>
          <w:tcPr>
            <w:tcW w:w="4621" w:type="dxa"/>
            <w:gridSpan w:val="4"/>
            <w:vAlign w:val="center"/>
          </w:tcPr>
          <w:p w:rsidR="002F4724" w:rsidRDefault="002F4724" w:rsidP="006D443E"/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t>PRERREQUISITOS Y/O RECOMENDACIONES (si procede)</w:t>
            </w: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Pr="00192D91" w:rsidRDefault="002F4724" w:rsidP="006D443E">
            <w:pPr>
              <w:tabs>
                <w:tab w:val="left" w:pos="1924"/>
              </w:tabs>
              <w:rPr>
                <w:rFonts w:ascii="TradeGothic LT" w:hAnsi="TradeGothic LT"/>
                <w:sz w:val="20"/>
                <w:szCs w:val="20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t>BREVE DESCRIPCIÓN DE CONTENIDOS (SEGÚN MEMORIA DE VERIFICACIÓN DEL MÁSTER)</w:t>
            </w: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Esta materia tiene como objetivo analizar los diversos derechos y libertades que se consideran personalísimos, reconociéndose al individuo en tanto que tal. Los mismos merecen una protección multinivel, esto es, tanto por parte del Estado, como en los ámbitos internacional o supranacional, continental y global. </w:t>
            </w:r>
          </w:p>
          <w:p w:rsidR="002F4724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lastRenderedPageBreak/>
              <w:t>Se parte así del estudio del derecho a la vida, en tanto que presupuesto de los demás derechos, analizando su titularidad y la legitimidad constitucional de determinados supuestos de aborto. A su vez, se aborda la  cuestión de la eutanasia, de la llamada muerte digna y de la pena de muerte.</w:t>
            </w:r>
          </w:p>
          <w:p w:rsidR="002F4724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Seguidamente se adquirirán conocimientos referidos al derecho a la integridad física y moral, que protege a la persona contra ataques dirigidos a lesionar tanto su cuerpo como su espíritu, así como contra cualquier clase de intervención sobre esos bienes que se realice sin el consentimiento de su titular.</w:t>
            </w:r>
          </w:p>
          <w:p w:rsidR="002F4724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Las libertades ideológica y religiosa y de culto merecen, asimismo, un estudio detenido en tanto que expresión de una genérica libertad de pensamiento, conciencia y religión.</w:t>
            </w:r>
          </w:p>
          <w:p w:rsidR="002F4724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La relevancia adquirida por los derechos fundamentales al honor, la intimidad personal y la propia imagen, garantes de un ámbito de privacidad, no sólo frente a los poderes públicos, frente a terceros, exige un conocimiento profundo de los mismos. </w:t>
            </w:r>
          </w:p>
          <w:p w:rsidR="002F4724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A su vez, en este módulo se ha de estudiar el alcance que presenta el derecho fundamental a la libertad y a la seguridad personal y, consecuentemente, cuanto afecta la detención preventiva, la prisión provisional, el “habeas corpus2 y el derecho a la legalidad punitiva.</w:t>
            </w:r>
          </w:p>
          <w:p w:rsidR="002F4724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El derecho al secreto de las comunicaciones ha de ser conocido y debidamente caracterizado, haciendo referencia a la interceptación ilegítima de las comunicaciones y a la eventual suspensión de la garantía que acompaña a este derecho.</w:t>
            </w:r>
          </w:p>
          <w:p w:rsidR="002F4724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La inviolabilidad del domicilio plantea problemas de titularidad, relativos al bien jurídico protegido, y a los supuestos que habilitan la entrada o registro de dicho domicilio como garantía constitucional del derecho; al consentimiento del titular; a las pruebas obtenidas con vulneración del derecho y a sus posibilidades de suspensión.</w:t>
            </w:r>
          </w:p>
          <w:p w:rsidR="002F4724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El derecho a la protección de datos de carácter personal o “habeas data” precisa estudiarse en referencia a su surgimiento y controvertida evolución jurisprudencial y legal.</w:t>
            </w: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Finalmente, en este módulo se concluye analizando la libertad de circulación y residencia, a fin de completar el análisis de derechos que asisten al individuo en todas las cartas o declaraciones de derechos dignas de este nombre.</w:t>
            </w:r>
          </w:p>
          <w:p w:rsidR="002F4724" w:rsidRDefault="002F4724" w:rsidP="006D443E"/>
          <w:p w:rsidR="002F4724" w:rsidRDefault="002F4724" w:rsidP="006D443E"/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lastRenderedPageBreak/>
              <w:t>COMPETENCIAS GENERALES Y ESPECÍFICAS DEL MÓDULO</w:t>
            </w: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Competencias: CG1, CG2, CG3, CG7, CE2, CE5, CE6, CE7.</w:t>
            </w: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t xml:space="preserve">OBJETIVOS (EXPRESADOS COMO RESULTADOS ESPERABLES DE </w:t>
            </w:r>
            <w:smartTag w:uri="urn:schemas-microsoft-com:office:smarttags" w:element="PersonName">
              <w:smartTagPr>
                <w:attr w:name="ProductID" w:val="LA ENSE￑ANZA"/>
              </w:smartTagPr>
              <w:r w:rsidRPr="00192D91">
                <w:rPr>
                  <w:rFonts w:ascii="TradeGothic LT Bold" w:hAnsi="TradeGothic LT Bold"/>
                  <w:sz w:val="20"/>
                  <w:szCs w:val="20"/>
                </w:rPr>
                <w:t>LA ENSEÑANZA</w:t>
              </w:r>
            </w:smartTag>
            <w:r w:rsidRPr="00192D91">
              <w:rPr>
                <w:rFonts w:ascii="TradeGothic LT Bold" w:hAnsi="TradeGothic LT Bold"/>
                <w:sz w:val="20"/>
                <w:szCs w:val="20"/>
              </w:rPr>
              <w:t>)</w:t>
            </w: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Pr="00192D91" w:rsidRDefault="002F4724" w:rsidP="006D443E">
            <w:pPr>
              <w:rPr>
                <w:rFonts w:ascii="TradeGothic LT" w:hAnsi="TradeGothic LT"/>
                <w:b/>
                <w:bCs/>
                <w:i/>
                <w:iCs/>
                <w:sz w:val="20"/>
                <w:szCs w:val="20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b/>
                <w:bCs/>
                <w:i/>
                <w:iCs/>
                <w:sz w:val="20"/>
                <w:szCs w:val="20"/>
              </w:rPr>
            </w:pPr>
            <w:r w:rsidRPr="00192D91">
              <w:rPr>
                <w:rFonts w:ascii="TradeGothic LT" w:hAnsi="TradeGothic LT"/>
                <w:b/>
                <w:bCs/>
                <w:i/>
                <w:iCs/>
                <w:sz w:val="20"/>
                <w:szCs w:val="20"/>
              </w:rPr>
              <w:t>El alumno sabrá/comprenderá:</w:t>
            </w: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  <w:lang w:val="es-ES_tradnl"/>
              </w:rPr>
            </w:pPr>
            <w:r>
              <w:rPr>
                <w:rFonts w:ascii="TradeGothic LT" w:hAnsi="TradeGothic LT"/>
                <w:sz w:val="20"/>
                <w:szCs w:val="20"/>
                <w:lang w:val="es-ES_tradnl"/>
              </w:rPr>
              <w:t>El alcance de los derechos fundamentales analizados, esto es, su régimen jurídico, constitucional, legal y jurisprudencial, en los ámbitos estatal y supraestatal e internacional</w:t>
            </w: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  <w:lang w:val="es-ES_tradnl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b/>
                <w:sz w:val="20"/>
                <w:szCs w:val="20"/>
              </w:rPr>
            </w:pPr>
            <w:r w:rsidRPr="00192D91">
              <w:rPr>
                <w:rFonts w:ascii="TradeGothic LT" w:hAnsi="TradeGothic LT"/>
                <w:b/>
                <w:bCs/>
                <w:i/>
                <w:iCs/>
                <w:sz w:val="20"/>
                <w:szCs w:val="20"/>
              </w:rPr>
              <w:t>El alumno será capaz de</w:t>
            </w:r>
            <w:r w:rsidRPr="00192D91">
              <w:rPr>
                <w:rFonts w:ascii="TradeGothic LT" w:hAnsi="TradeGothic LT"/>
                <w:b/>
                <w:sz w:val="20"/>
                <w:szCs w:val="20"/>
              </w:rPr>
              <w:t>:</w:t>
            </w:r>
          </w:p>
          <w:p w:rsidR="002F4724" w:rsidRPr="00192D91" w:rsidRDefault="002F4724" w:rsidP="006D443E">
            <w:pPr>
              <w:rPr>
                <w:rFonts w:ascii="TradeGothic LT" w:hAnsi="TradeGothic LT"/>
                <w:b/>
                <w:sz w:val="20"/>
                <w:szCs w:val="20"/>
                <w:lang w:val="es-ES_tradnl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  <w:lang w:val="es-ES_tradnl"/>
              </w:rPr>
            </w:pPr>
            <w:r>
              <w:rPr>
                <w:rFonts w:ascii="TradeGothic LT" w:hAnsi="TradeGothic LT"/>
                <w:sz w:val="20"/>
                <w:szCs w:val="20"/>
                <w:lang w:val="es-ES_tradnl"/>
              </w:rPr>
              <w:t xml:space="preserve">Determinar la titularidad, objeto y límites de los diferentes derechos y libertades objeto de referencia; la problemática que afecta a los mismos en relación a su eventual conflicto con otros derechos y bienes jurídicos </w:t>
            </w:r>
            <w:r>
              <w:rPr>
                <w:rFonts w:ascii="TradeGothic LT" w:hAnsi="TradeGothic LT"/>
                <w:sz w:val="20"/>
                <w:szCs w:val="20"/>
                <w:lang w:val="es-ES_tradnl"/>
              </w:rPr>
              <w:lastRenderedPageBreak/>
              <w:t>protegidos.</w:t>
            </w: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  <w:lang w:val="es-ES_tradnl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  <w:lang w:val="es-ES_tradnl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lastRenderedPageBreak/>
              <w:t>TEMARIO DETALLADO DE LA ASIGNATURA</w:t>
            </w: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pPr>
              <w:jc w:val="both"/>
            </w:pPr>
          </w:p>
          <w:p w:rsidR="002F4724" w:rsidRDefault="002F4724" w:rsidP="002F4724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El derecho a la vida.</w:t>
            </w:r>
          </w:p>
          <w:p w:rsidR="002F4724" w:rsidRDefault="002F4724" w:rsidP="006D443E">
            <w:pPr>
              <w:pStyle w:val="Prrafodelista"/>
              <w:jc w:val="both"/>
            </w:pPr>
            <w:r>
              <w:t>1.1 Titularidad del derecho y legitimidad  constitucional de determinados supuestos de aborto.</w:t>
            </w:r>
          </w:p>
          <w:p w:rsidR="002F4724" w:rsidRDefault="002F4724" w:rsidP="006D443E">
            <w:pPr>
              <w:pStyle w:val="Prrafodelista"/>
              <w:jc w:val="both"/>
            </w:pPr>
            <w:r>
              <w:t>1.2. ¿Existe un derecho a la propia muerte?</w:t>
            </w:r>
          </w:p>
          <w:p w:rsidR="002F4724" w:rsidRDefault="002F4724" w:rsidP="006D443E">
            <w:pPr>
              <w:pStyle w:val="Prrafodelista"/>
              <w:jc w:val="both"/>
            </w:pPr>
            <w:r>
              <w:t>1.3. El derecho a una muerte digna.</w:t>
            </w:r>
          </w:p>
          <w:p w:rsidR="002F4724" w:rsidRDefault="002F4724" w:rsidP="006D443E">
            <w:pPr>
              <w:pStyle w:val="Prrafodelista"/>
              <w:jc w:val="both"/>
            </w:pPr>
            <w:r>
              <w:t>1.4. La eutanasia.</w:t>
            </w:r>
          </w:p>
          <w:p w:rsidR="002F4724" w:rsidRDefault="002F4724" w:rsidP="006D443E">
            <w:pPr>
              <w:pStyle w:val="Prrafodelista"/>
              <w:jc w:val="both"/>
            </w:pPr>
            <w:r>
              <w:t>1.5. La pena de muerte.</w:t>
            </w:r>
          </w:p>
          <w:p w:rsidR="002F4724" w:rsidRDefault="002F4724" w:rsidP="006D443E">
            <w:pPr>
              <w:jc w:val="both"/>
            </w:pPr>
            <w:r>
              <w:t xml:space="preserve">       2.   El derecho a la integridad física y moral</w:t>
            </w:r>
          </w:p>
          <w:p w:rsidR="002F4724" w:rsidRDefault="002F4724" w:rsidP="006D443E">
            <w:pPr>
              <w:jc w:val="both"/>
            </w:pPr>
            <w:r>
              <w:t xml:space="preserve">             2.1. Alcance y objeto del derecho.</w:t>
            </w:r>
          </w:p>
          <w:p w:rsidR="002F4724" w:rsidRDefault="002F4724" w:rsidP="006D443E">
            <w:pPr>
              <w:jc w:val="both"/>
            </w:pPr>
            <w:r>
              <w:t xml:space="preserve">             2.2. Análisis del fenómeno de la violencia intrafamiliar.</w:t>
            </w:r>
          </w:p>
          <w:p w:rsidR="002F4724" w:rsidRDefault="002F4724" w:rsidP="006D443E">
            <w:pPr>
              <w:jc w:val="both"/>
            </w:pPr>
            <w:r>
              <w:t xml:space="preserve">       3.   Las libertades ideológica y religiosa.</w:t>
            </w:r>
          </w:p>
          <w:p w:rsidR="002F4724" w:rsidRDefault="002F4724" w:rsidP="006D443E">
            <w:pPr>
              <w:jc w:val="both"/>
            </w:pPr>
            <w:r>
              <w:t xml:space="preserve">             3.1. La libertad ideológica. Delimitación de su objeto, facultades y límites.</w:t>
            </w:r>
          </w:p>
          <w:p w:rsidR="002F4724" w:rsidRDefault="006533B8" w:rsidP="006533B8">
            <w:pPr>
              <w:ind w:left="862" w:hanging="142"/>
              <w:jc w:val="both"/>
            </w:pPr>
            <w:r>
              <w:t xml:space="preserve"> </w:t>
            </w:r>
            <w:r w:rsidR="002F4724">
              <w:t xml:space="preserve"> 3.2. La libertad religiosa y de culto. Objeto, titularidad y límites. Los principios de laicidad del                      </w:t>
            </w:r>
            <w:r>
              <w:t xml:space="preserve">                              </w:t>
            </w:r>
            <w:r w:rsidR="002F4724">
              <w:t xml:space="preserve">         </w:t>
            </w:r>
            <w:r>
              <w:t xml:space="preserve">                   Es</w:t>
            </w:r>
            <w:r w:rsidR="002F4724">
              <w:t xml:space="preserve">tado y de cooperación con las confesiones.                    </w:t>
            </w:r>
          </w:p>
          <w:p w:rsidR="002F4724" w:rsidRDefault="002F4724" w:rsidP="006D443E">
            <w:pPr>
              <w:jc w:val="both"/>
            </w:pPr>
            <w:r>
              <w:t xml:space="preserve">        4.  Los derechos fundamentales al honor, a la intimidad, personal y familiar, y a la propia imagen.</w:t>
            </w:r>
          </w:p>
          <w:p w:rsidR="002F4724" w:rsidRDefault="002F4724" w:rsidP="006D443E">
            <w:pPr>
              <w:jc w:val="both"/>
            </w:pPr>
            <w:r>
              <w:t xml:space="preserve">             4.1. Delimitación constitucional de estos derechos.</w:t>
            </w:r>
          </w:p>
          <w:p w:rsidR="002F4724" w:rsidRDefault="002F4724" w:rsidP="006D443E">
            <w:pPr>
              <w:jc w:val="both"/>
            </w:pPr>
            <w:r>
              <w:t xml:space="preserve">             4.2. Análisis de su régimen legal y jurisprudencial.  </w:t>
            </w:r>
          </w:p>
          <w:p w:rsidR="002F4724" w:rsidRDefault="002F4724" w:rsidP="006D443E">
            <w:pPr>
              <w:jc w:val="both"/>
            </w:pPr>
            <w:r>
              <w:t xml:space="preserve">        5.  El derecho fundamental a la libertad y a la seguridad personal.</w:t>
            </w:r>
          </w:p>
          <w:p w:rsidR="002F4724" w:rsidRDefault="002F4724" w:rsidP="006D443E">
            <w:pPr>
              <w:jc w:val="both"/>
            </w:pPr>
            <w:r>
              <w:t xml:space="preserve">        6. El derecho al secreto de las comunicaciones.</w:t>
            </w:r>
          </w:p>
          <w:p w:rsidR="002F4724" w:rsidRDefault="002F4724" w:rsidP="006D443E">
            <w:pPr>
              <w:jc w:val="both"/>
            </w:pPr>
            <w:r>
              <w:t xml:space="preserve">        7. La inviolabilidad del domicilio.</w:t>
            </w:r>
          </w:p>
          <w:p w:rsidR="002F4724" w:rsidRDefault="002F4724" w:rsidP="006D443E">
            <w:pPr>
              <w:jc w:val="both"/>
            </w:pPr>
            <w:r>
              <w:t xml:space="preserve">        8. El derecho a la protección de datos de carácter personal.</w:t>
            </w:r>
          </w:p>
          <w:p w:rsidR="002F4724" w:rsidRDefault="002F4724" w:rsidP="006D443E">
            <w:pPr>
              <w:jc w:val="both"/>
            </w:pPr>
            <w:r>
              <w:t xml:space="preserve">        9. La libertad de circulación y residencia.         </w:t>
            </w: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Pr="005D44BB" w:rsidRDefault="002F4724" w:rsidP="006D443E">
            <w:pPr>
              <w:rPr>
                <w:b/>
              </w:rPr>
            </w:pPr>
            <w:r>
              <w:rPr>
                <w:b/>
              </w:rPr>
              <w:t>Bibliografía</w:t>
            </w: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2F4724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Bastida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Freijedo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>, F. “Libertad de circulación”, en “Temas básicos de Derecho Constitucional”, en www.iustel.es</w:t>
            </w:r>
          </w:p>
          <w:p w:rsidR="002F4724" w:rsidRPr="000E2AD2" w:rsidRDefault="002F4724" w:rsidP="002F4724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Chueca Rodríguez, R., “Los derechos fundamentales a la vida y a la integridad física”, en Derecho y Salud, Vol. 16, nº 1, 2008, págs. 1-14.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pdf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 en </w:t>
            </w:r>
            <w:hyperlink r:id="rId9" w:history="1">
              <w:r w:rsidRPr="008868C8">
                <w:rPr>
                  <w:rStyle w:val="Hipervnculo"/>
                  <w:rFonts w:ascii="TradeGothic LT" w:hAnsi="TradeGothic LT"/>
                  <w:sz w:val="20"/>
                  <w:szCs w:val="20"/>
                </w:rPr>
                <w:t>www.dialnet.es</w:t>
              </w:r>
            </w:hyperlink>
          </w:p>
          <w:p w:rsidR="002F4724" w:rsidRDefault="002F4724" w:rsidP="002F4724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Chueca Rodríguez, R., “El marco constitucional del final de la propia vida”, en Revista Española de Derecho Constitucional, nº 85, 2009, págs. 99-123,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pdf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 en </w:t>
            </w:r>
            <w:hyperlink r:id="rId10" w:history="1">
              <w:r w:rsidRPr="008868C8">
                <w:rPr>
                  <w:rStyle w:val="Hipervnculo"/>
                  <w:rFonts w:ascii="TradeGothic LT" w:hAnsi="TradeGothic LT"/>
                  <w:sz w:val="20"/>
                  <w:szCs w:val="20"/>
                </w:rPr>
                <w:t>www.dialnet.es</w:t>
              </w:r>
            </w:hyperlink>
          </w:p>
          <w:p w:rsidR="002F4724" w:rsidRDefault="002F4724" w:rsidP="002F4724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Díez-Picazo, Giménez, L., “Sistema de derechos fundamentales”, Madrid,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Civitas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>, 2013.</w:t>
            </w:r>
          </w:p>
          <w:p w:rsidR="002F4724" w:rsidRDefault="002F4724" w:rsidP="002F4724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Jiménez Campo, J., “La garantía constitucional del secreto de las comunicaciones”, en Revista Española de Derecho Constitucional, nº 20, 1987, págs. 35-82.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Pdf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 en www.dialnet.es</w:t>
            </w:r>
          </w:p>
          <w:p w:rsidR="002F4724" w:rsidRDefault="002F4724" w:rsidP="002F4724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García Roca/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Santaolalla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Macchetti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>, F., “La Europa de los Derechos. El Convenio Europeo de Derechos” Humanos, Madrid, Centro de Estudios Políticos y Constitucionales, 2012.</w:t>
            </w:r>
          </w:p>
          <w:p w:rsidR="002F4724" w:rsidRDefault="002F4724" w:rsidP="002F4724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Lasagabáster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 Herrarte, I., “Comentarios al Convenio Europeo de los Derechos Humanos”, Madrid,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Civitas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>, 2015.</w:t>
            </w:r>
          </w:p>
          <w:p w:rsidR="002F4724" w:rsidRDefault="002F4724" w:rsidP="002F4724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proofErr w:type="spellStart"/>
            <w:r>
              <w:rPr>
                <w:rFonts w:ascii="TradeGothic LT" w:hAnsi="TradeGothic LT"/>
                <w:sz w:val="20"/>
                <w:szCs w:val="20"/>
              </w:rPr>
              <w:lastRenderedPageBreak/>
              <w:t>Matía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 Portilla, J., “El derecho fundamental a la inviolabilidad del domicilio”, Madrid, 1997.</w:t>
            </w:r>
          </w:p>
          <w:p w:rsidR="002F4724" w:rsidRDefault="002F4724" w:rsidP="002F47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Porras Ramírez, J. Mª, “Derecho de la L</w:t>
            </w:r>
            <w:r w:rsidRPr="00E249FA">
              <w:rPr>
                <w:rFonts w:ascii="TradeGothic LT" w:hAnsi="TradeGothic LT"/>
                <w:sz w:val="20"/>
                <w:szCs w:val="20"/>
              </w:rPr>
              <w:t xml:space="preserve">ibertad Religiosa”, Madrid, </w:t>
            </w:r>
            <w:proofErr w:type="spellStart"/>
            <w:r w:rsidRPr="00E249FA">
              <w:rPr>
                <w:rFonts w:ascii="TradeGothic LT" w:hAnsi="TradeGothic LT"/>
                <w:sz w:val="20"/>
                <w:szCs w:val="20"/>
              </w:rPr>
              <w:t>Tecnos</w:t>
            </w:r>
            <w:proofErr w:type="spellEnd"/>
            <w:r w:rsidRPr="00E249FA">
              <w:rPr>
                <w:rFonts w:ascii="TradeGothic LT" w:hAnsi="TradeGothic LT"/>
                <w:sz w:val="20"/>
                <w:szCs w:val="20"/>
              </w:rPr>
              <w:t>, 2016.</w:t>
            </w:r>
          </w:p>
          <w:p w:rsidR="002F4724" w:rsidRDefault="002F4724" w:rsidP="002F4724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Rey Martínez,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F.,”Eutanasia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 y derechos fundamentales”, Centro de Estudios Políticos y Constitucionales, 2008.</w:t>
            </w:r>
          </w:p>
          <w:p w:rsidR="002F4724" w:rsidRPr="00E249FA" w:rsidRDefault="002F4724" w:rsidP="002F4724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Rollnert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Liern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, G., “Ideología y libertad ideológica en la jurisprudencia del Tribunal Constitucional”, Revista de Estudios Políticos, 1999, nº 98, págs. 227-256.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Pdf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 en www.dialnet.es</w:t>
            </w:r>
          </w:p>
          <w:p w:rsidR="002F4724" w:rsidRPr="0044077D" w:rsidRDefault="002F4724" w:rsidP="002F47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Villaverde Menéndez, I., “Protección de datos personales, derecho a ser informado y autodeterminación informativa del individuo”, en Revista Española de Derecho Constitucional, nº 41, 1994, págs. 173-187. </w:t>
            </w:r>
            <w:proofErr w:type="spellStart"/>
            <w:r>
              <w:rPr>
                <w:rFonts w:ascii="TradeGothic LT" w:hAnsi="TradeGothic LT"/>
                <w:sz w:val="20"/>
                <w:szCs w:val="20"/>
              </w:rPr>
              <w:t>Pdf</w:t>
            </w:r>
            <w:proofErr w:type="spellEnd"/>
            <w:r>
              <w:rPr>
                <w:rFonts w:ascii="TradeGothic LT" w:hAnsi="TradeGothic LT"/>
                <w:sz w:val="20"/>
                <w:szCs w:val="20"/>
              </w:rPr>
              <w:t xml:space="preserve"> en www.dialnet.es</w:t>
            </w:r>
          </w:p>
          <w:p w:rsidR="002F4724" w:rsidRPr="004721E1" w:rsidRDefault="002F4724" w:rsidP="006D443E">
            <w:pPr>
              <w:jc w:val="both"/>
              <w:rPr>
                <w:rFonts w:ascii="TradeGothic LT" w:hAnsi="TradeGothic LT"/>
                <w:sz w:val="20"/>
                <w:szCs w:val="20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lastRenderedPageBreak/>
              <w:t>ENLACES RECOMENDADOS</w:t>
            </w:r>
          </w:p>
        </w:tc>
      </w:tr>
      <w:tr w:rsidR="002F4724" w:rsidRPr="00192D91" w:rsidTr="006D443E">
        <w:tc>
          <w:tcPr>
            <w:tcW w:w="10188" w:type="dxa"/>
            <w:gridSpan w:val="7"/>
            <w:vAlign w:val="center"/>
          </w:tcPr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Tribunal Constitucional. </w:t>
            </w:r>
            <w:hyperlink r:id="rId11" w:history="1">
              <w:r w:rsidRPr="008868C8">
                <w:rPr>
                  <w:rStyle w:val="Hipervnculo"/>
                  <w:rFonts w:ascii="TradeGothic LT" w:hAnsi="TradeGothic LT"/>
                  <w:sz w:val="20"/>
                  <w:szCs w:val="20"/>
                </w:rPr>
                <w:t>www.tribunalconstitucional.es</w:t>
              </w:r>
            </w:hyperlink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Tribunal de Justicia de la Unión Europea. www.curia.europa.eu</w:t>
            </w:r>
          </w:p>
          <w:p w:rsidR="002F4724" w:rsidRPr="00C578F8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Tribunal Europeo de Derechos Humanos. www.echr.coe.int</w:t>
            </w:r>
          </w:p>
          <w:p w:rsidR="002F4724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Corte Interamericana de Derechos Humanos. </w:t>
            </w:r>
            <w:hyperlink r:id="rId12" w:history="1">
              <w:r w:rsidRPr="008868C8">
                <w:rPr>
                  <w:rStyle w:val="Hipervnculo"/>
                  <w:rFonts w:ascii="TradeGothic LT" w:hAnsi="TradeGothic LT"/>
                  <w:sz w:val="20"/>
                  <w:szCs w:val="20"/>
                </w:rPr>
                <w:t>www.corteidh.or.cr</w:t>
              </w:r>
            </w:hyperlink>
          </w:p>
          <w:p w:rsidR="002F4724" w:rsidRPr="00C578F8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Corte Internacional de Justicia. </w:t>
            </w:r>
            <w:hyperlink r:id="rId13" w:history="1">
              <w:r w:rsidR="00CD2066" w:rsidRPr="008868C8">
                <w:rPr>
                  <w:rStyle w:val="Hipervnculo"/>
                  <w:rFonts w:ascii="TradeGothic LT" w:hAnsi="TradeGothic LT"/>
                  <w:sz w:val="20"/>
                  <w:szCs w:val="20"/>
                </w:rPr>
                <w:t>www.icj-cij.org</w:t>
              </w:r>
            </w:hyperlink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t>METODOLOGÍA DOCENTE</w:t>
            </w: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Pr="00832340" w:rsidRDefault="00832340" w:rsidP="00832340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 w:rsidRPr="00832340">
              <w:rPr>
                <w:rFonts w:ascii="TradeGothic LT" w:hAnsi="TradeGothic LT"/>
                <w:sz w:val="20"/>
                <w:szCs w:val="20"/>
              </w:rPr>
              <w:t>Se analizarán las fuentes y documentos recomendados por los profesores y accesibles electrónicamente.</w:t>
            </w:r>
          </w:p>
          <w:p w:rsidR="00832340" w:rsidRDefault="00832340" w:rsidP="00832340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Habrá sesiones de discusión y debate.</w:t>
            </w:r>
          </w:p>
          <w:p w:rsidR="00832340" w:rsidRDefault="00832340" w:rsidP="00832340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 xml:space="preserve">Se efectuará un seguimiento del Trabajo Fin de Máster. </w:t>
            </w:r>
          </w:p>
          <w:p w:rsidR="00832340" w:rsidRDefault="00832340" w:rsidP="00832340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Se visualizarán materiales “on-line”.</w:t>
            </w:r>
          </w:p>
          <w:p w:rsidR="00832340" w:rsidRPr="00832340" w:rsidRDefault="00832340" w:rsidP="00832340">
            <w:pPr>
              <w:pStyle w:val="Prrafodelista"/>
              <w:numPr>
                <w:ilvl w:val="0"/>
                <w:numId w:val="2"/>
              </w:numPr>
              <w:rPr>
                <w:rFonts w:ascii="TradeGothic LT" w:hAnsi="TradeGothic LT"/>
                <w:sz w:val="20"/>
                <w:szCs w:val="20"/>
              </w:rPr>
            </w:pPr>
            <w:r>
              <w:rPr>
                <w:rFonts w:ascii="TradeGothic LT" w:hAnsi="TradeGothic LT"/>
                <w:sz w:val="20"/>
                <w:szCs w:val="20"/>
              </w:rPr>
              <w:t>Se fomentará la discusión en foros de debate.</w:t>
            </w:r>
          </w:p>
          <w:p w:rsidR="00196F7C" w:rsidRDefault="00196F7C" w:rsidP="006D443E">
            <w:pPr>
              <w:rPr>
                <w:rFonts w:ascii="TradeGothic LT" w:hAnsi="TradeGothic LT"/>
                <w:b/>
                <w:sz w:val="20"/>
                <w:szCs w:val="20"/>
              </w:rPr>
            </w:pPr>
          </w:p>
          <w:p w:rsidR="002F4724" w:rsidRPr="00192D91" w:rsidRDefault="00196F7C" w:rsidP="006D443E">
            <w:pPr>
              <w:rPr>
                <w:rFonts w:ascii="TradeGothic LT" w:hAnsi="TradeGothic LT"/>
                <w:b/>
                <w:sz w:val="20"/>
                <w:szCs w:val="20"/>
              </w:rPr>
            </w:pPr>
            <w:r>
              <w:rPr>
                <w:rFonts w:ascii="TradeGothic LT" w:hAnsi="TradeGothic LT"/>
                <w:b/>
                <w:sz w:val="20"/>
                <w:szCs w:val="20"/>
              </w:rPr>
              <w:t>La actividad formativa supondrá la lectura de materiales teóricos, la resolución de casos prácticos, el trabajo autónomo del estudiante, la realización de trabajos escritos y la evaluación</w:t>
            </w:r>
            <w:bookmarkStart w:id="0" w:name="_GoBack"/>
            <w:bookmarkEnd w:id="0"/>
            <w:r>
              <w:rPr>
                <w:rFonts w:ascii="TradeGothic LT" w:hAnsi="TradeGothic LT"/>
                <w:b/>
                <w:sz w:val="20"/>
                <w:szCs w:val="20"/>
              </w:rPr>
              <w:t xml:space="preserve"> </w:t>
            </w:r>
          </w:p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t xml:space="preserve">EVALUACIÓN (INSTRUMENTOS DE EVALUACIÓN, CRITERIOS DE EVALUACIÓN Y PORCENTAJE SOBRE </w:t>
            </w:r>
            <w:smartTag w:uri="urn:schemas-microsoft-com:office:smarttags" w:element="PersonName">
              <w:smartTagPr>
                <w:attr w:name="ProductID" w:val="LA CALIFICACIￓN FINAL"/>
              </w:smartTagPr>
              <w:smartTag w:uri="urn:schemas-microsoft-com:office:smarttags" w:element="PersonName">
                <w:smartTagPr>
                  <w:attr w:name="ProductID" w:val="LA CALIFICACIￓN"/>
                </w:smartTagPr>
                <w:r w:rsidRPr="00192D91">
                  <w:rPr>
                    <w:rFonts w:ascii="TradeGothic LT Bold" w:hAnsi="TradeGothic LT Bold"/>
                    <w:sz w:val="20"/>
                    <w:szCs w:val="20"/>
                  </w:rPr>
                  <w:t>LA CALIFICACIÓN</w:t>
                </w:r>
              </w:smartTag>
              <w:r w:rsidRPr="00192D91">
                <w:rPr>
                  <w:rFonts w:ascii="TradeGothic LT Bold" w:hAnsi="TradeGothic LT Bold"/>
                  <w:sz w:val="20"/>
                  <w:szCs w:val="20"/>
                </w:rPr>
                <w:t xml:space="preserve"> FINAL</w:t>
              </w:r>
            </w:smartTag>
            <w:r w:rsidRPr="00192D91">
              <w:rPr>
                <w:rFonts w:ascii="TradeGothic LT Bold" w:hAnsi="TradeGothic LT Bold"/>
                <w:sz w:val="20"/>
                <w:szCs w:val="20"/>
              </w:rPr>
              <w:t>, ETC.)</w:t>
            </w: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Pr="006F5D53" w:rsidRDefault="002F4724" w:rsidP="006D443E">
            <w:pPr>
              <w:jc w:val="both"/>
              <w:rPr>
                <w:rFonts w:ascii="TradeGothic LT" w:hAnsi="TradeGothic LT"/>
                <w:sz w:val="20"/>
                <w:szCs w:val="20"/>
              </w:rPr>
            </w:pPr>
          </w:p>
          <w:p w:rsidR="002F4724" w:rsidRPr="00192D91" w:rsidRDefault="002F4724" w:rsidP="006D443E">
            <w:pPr>
              <w:jc w:val="both"/>
              <w:rPr>
                <w:rFonts w:ascii="TradeGothic LT" w:hAnsi="TradeGothic LT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11"/>
              <w:gridCol w:w="2280"/>
              <w:gridCol w:w="3432"/>
            </w:tblGrid>
            <w:tr w:rsidR="002F4724" w:rsidRPr="00E96165" w:rsidTr="006D443E">
              <w:trPr>
                <w:jc w:val="center"/>
              </w:trPr>
              <w:tc>
                <w:tcPr>
                  <w:tcW w:w="2911" w:type="dxa"/>
                  <w:shd w:val="clear" w:color="auto" w:fill="C0C0C0"/>
                </w:tcPr>
                <w:p w:rsidR="002F4724" w:rsidRPr="00E96165" w:rsidRDefault="002F4724" w:rsidP="006D443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2280" w:type="dxa"/>
                  <w:shd w:val="clear" w:color="auto" w:fill="C0C0C0"/>
                </w:tcPr>
                <w:p w:rsidR="002F4724" w:rsidRPr="00E96165" w:rsidRDefault="002F4724" w:rsidP="006D443E">
                  <w:pPr>
                    <w:rPr>
                      <w:rFonts w:ascii="Tahoma" w:hAnsi="Tahoma" w:cs="Tahoma"/>
                    </w:rPr>
                  </w:pPr>
                  <w:r w:rsidRPr="00E96165">
                    <w:rPr>
                      <w:rFonts w:ascii="Tahoma" w:hAnsi="Tahoma" w:cs="Tahoma"/>
                      <w:sz w:val="22"/>
                      <w:szCs w:val="22"/>
                    </w:rPr>
                    <w:t>Ponderación Mínima</w:t>
                  </w:r>
                </w:p>
              </w:tc>
              <w:tc>
                <w:tcPr>
                  <w:tcW w:w="3432" w:type="dxa"/>
                  <w:shd w:val="clear" w:color="auto" w:fill="C0C0C0"/>
                </w:tcPr>
                <w:p w:rsidR="002F4724" w:rsidRPr="00E96165" w:rsidRDefault="002F4724" w:rsidP="006D443E">
                  <w:pPr>
                    <w:rPr>
                      <w:rFonts w:ascii="Tahoma" w:hAnsi="Tahoma" w:cs="Tahoma"/>
                    </w:rPr>
                  </w:pPr>
                  <w:r w:rsidRPr="00E96165">
                    <w:rPr>
                      <w:rFonts w:ascii="Tahoma" w:hAnsi="Tahoma" w:cs="Tahoma"/>
                      <w:sz w:val="22"/>
                      <w:szCs w:val="22"/>
                    </w:rPr>
                    <w:t>Ponderación Máxima</w:t>
                  </w:r>
                </w:p>
              </w:tc>
            </w:tr>
            <w:tr w:rsidR="002F4724" w:rsidRPr="00E96165" w:rsidTr="006D443E">
              <w:trPr>
                <w:jc w:val="center"/>
              </w:trPr>
              <w:tc>
                <w:tcPr>
                  <w:tcW w:w="2911" w:type="dxa"/>
                </w:tcPr>
                <w:p w:rsidR="002F4724" w:rsidRPr="00E96165" w:rsidRDefault="00CD2066" w:rsidP="006D443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Pruebas, ejercicios y problemas resueltos en clase  o individualmente a lo largo del curso</w:t>
                  </w:r>
                </w:p>
              </w:tc>
              <w:tc>
                <w:tcPr>
                  <w:tcW w:w="2280" w:type="dxa"/>
                </w:tcPr>
                <w:p w:rsidR="002F4724" w:rsidRPr="00E96165" w:rsidRDefault="00CD2066" w:rsidP="006D443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32" w:type="dxa"/>
                </w:tcPr>
                <w:p w:rsidR="002F4724" w:rsidRPr="00E96165" w:rsidRDefault="002F4724" w:rsidP="00CD206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10</w:t>
                  </w:r>
                </w:p>
              </w:tc>
            </w:tr>
            <w:tr w:rsidR="002F4724" w:rsidRPr="00E96165" w:rsidTr="006D443E">
              <w:trPr>
                <w:jc w:val="center"/>
              </w:trPr>
              <w:tc>
                <w:tcPr>
                  <w:tcW w:w="2911" w:type="dxa"/>
                </w:tcPr>
                <w:p w:rsidR="002F4724" w:rsidRPr="00E96165" w:rsidRDefault="00CD2066" w:rsidP="006D443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Valoración final de informes, trabajos, proyectos individuales</w:t>
                  </w:r>
                </w:p>
              </w:tc>
              <w:tc>
                <w:tcPr>
                  <w:tcW w:w="2280" w:type="dxa"/>
                </w:tcPr>
                <w:p w:rsidR="002F4724" w:rsidRPr="00E96165" w:rsidRDefault="00CD2066" w:rsidP="00CD206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32" w:type="dxa"/>
                </w:tcPr>
                <w:p w:rsidR="002F4724" w:rsidRPr="00E96165" w:rsidRDefault="00CD2066" w:rsidP="006D443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10</w:t>
                  </w:r>
                </w:p>
              </w:tc>
            </w:tr>
            <w:tr w:rsidR="002F4724" w:rsidRPr="00E96165" w:rsidTr="006D443E">
              <w:trPr>
                <w:jc w:val="center"/>
              </w:trPr>
              <w:tc>
                <w:tcPr>
                  <w:tcW w:w="2911" w:type="dxa"/>
                </w:tcPr>
                <w:p w:rsidR="002F4724" w:rsidRPr="00E96165" w:rsidRDefault="00CD2066" w:rsidP="006D443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Defensa pública del Trabajo Fin de Máster</w:t>
                  </w:r>
                </w:p>
              </w:tc>
              <w:tc>
                <w:tcPr>
                  <w:tcW w:w="2280" w:type="dxa"/>
                </w:tcPr>
                <w:p w:rsidR="002F4724" w:rsidRPr="00E96165" w:rsidRDefault="00CD2066" w:rsidP="006D443E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32" w:type="dxa"/>
                </w:tcPr>
                <w:p w:rsidR="002F4724" w:rsidRPr="00E96165" w:rsidRDefault="00CD2066" w:rsidP="00CD206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10</w:t>
                  </w:r>
                </w:p>
              </w:tc>
            </w:tr>
            <w:tr w:rsidR="002F4724" w:rsidRPr="00E96165" w:rsidTr="006D443E">
              <w:trPr>
                <w:jc w:val="center"/>
              </w:trPr>
              <w:tc>
                <w:tcPr>
                  <w:tcW w:w="2911" w:type="dxa"/>
                </w:tcPr>
                <w:p w:rsidR="002F4724" w:rsidRPr="00E96165" w:rsidRDefault="002F4724" w:rsidP="006D443E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80" w:type="dxa"/>
                </w:tcPr>
                <w:p w:rsidR="002F4724" w:rsidRPr="00E96165" w:rsidRDefault="002F4724" w:rsidP="006D443E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32" w:type="dxa"/>
                </w:tcPr>
                <w:p w:rsidR="002F4724" w:rsidRPr="00E96165" w:rsidRDefault="002F4724" w:rsidP="006D443E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2F4724" w:rsidRPr="00192D91" w:rsidRDefault="002F4724" w:rsidP="006D443E">
            <w:pPr>
              <w:rPr>
                <w:rFonts w:ascii="TradeGothic LT" w:hAnsi="TradeGothic LT"/>
                <w:sz w:val="20"/>
                <w:szCs w:val="20"/>
              </w:rPr>
            </w:pP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>
            <w:r w:rsidRPr="00192D91">
              <w:rPr>
                <w:rFonts w:ascii="TradeGothic LT Bold" w:hAnsi="TradeGothic LT Bold"/>
                <w:sz w:val="20"/>
                <w:szCs w:val="20"/>
              </w:rPr>
              <w:lastRenderedPageBreak/>
              <w:t>INFORMACIÓN ADICIONAL</w:t>
            </w:r>
          </w:p>
        </w:tc>
      </w:tr>
      <w:tr w:rsidR="002F4724" w:rsidTr="006D443E">
        <w:tc>
          <w:tcPr>
            <w:tcW w:w="10188" w:type="dxa"/>
            <w:gridSpan w:val="7"/>
            <w:vAlign w:val="center"/>
          </w:tcPr>
          <w:p w:rsidR="002F4724" w:rsidRDefault="002F4724" w:rsidP="006D443E"/>
        </w:tc>
      </w:tr>
    </w:tbl>
    <w:p w:rsidR="002F4724" w:rsidRDefault="002F4724" w:rsidP="002F4724"/>
    <w:p w:rsidR="00FF7FA9" w:rsidRDefault="00FF7FA9"/>
    <w:sectPr w:rsidR="00FF7FA9" w:rsidSect="002D1EAA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6C" w:rsidRDefault="009B016C">
      <w:r>
        <w:separator/>
      </w:r>
    </w:p>
  </w:endnote>
  <w:endnote w:type="continuationSeparator" w:id="0">
    <w:p w:rsidR="009B016C" w:rsidRDefault="009B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Gothic L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Bold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E6" w:rsidRDefault="002F4724" w:rsidP="00CE2C38">
    <w:pPr>
      <w:pStyle w:val="Piedepgina"/>
      <w:tabs>
        <w:tab w:val="clear" w:pos="4252"/>
        <w:tab w:val="clear" w:pos="8504"/>
        <w:tab w:val="left" w:pos="780"/>
      </w:tabs>
      <w:ind w:left="-900"/>
    </w:pPr>
    <w:r>
      <w:tab/>
    </w:r>
    <w:r>
      <w:rPr>
        <w:noProof/>
      </w:rPr>
      <w:drawing>
        <wp:inline distT="0" distB="0" distL="0" distR="0">
          <wp:extent cx="6514465" cy="1292860"/>
          <wp:effectExtent l="0" t="0" r="635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6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BE6" w:rsidRDefault="006533B8" w:rsidP="00390560">
    <w:pPr>
      <w:pStyle w:val="Piedepgina"/>
      <w:ind w:left="-900"/>
    </w:pPr>
  </w:p>
  <w:p w:rsidR="00040BE6" w:rsidRDefault="00CE72CE" w:rsidP="00390560">
    <w:pPr>
      <w:pStyle w:val="Piedepgina"/>
      <w:ind w:left="-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4in;margin-top:14.7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NItA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" filled="f" stroked="f">
          <v:textbox>
            <w:txbxContent>
              <w:p w:rsidR="00040BE6" w:rsidRPr="009F0090" w:rsidRDefault="002F4724" w:rsidP="009F0090">
                <w:pPr>
                  <w:jc w:val="right"/>
                  <w:rPr>
                    <w:rFonts w:ascii="TradeGothic LT Bold" w:hAnsi="TradeGothic LT Bold"/>
                    <w:color w:val="FFFFFF"/>
                    <w:sz w:val="16"/>
                    <w:szCs w:val="16"/>
                  </w:rPr>
                </w:pPr>
                <w:r w:rsidRPr="009F0090">
                  <w:rPr>
                    <w:rStyle w:val="Nmerodepgina"/>
                    <w:rFonts w:ascii="TradeGothic LT Bold" w:hAnsi="TradeGothic LT Bold"/>
                    <w:color w:val="FFFFFF"/>
                    <w:sz w:val="16"/>
                    <w:szCs w:val="16"/>
                  </w:rPr>
                  <w:t xml:space="preserve">Página </w:t>
                </w:r>
                <w:r w:rsidR="00CE72CE" w:rsidRPr="009F0090">
                  <w:rPr>
                    <w:rStyle w:val="Nmerodepgina"/>
                    <w:rFonts w:ascii="TradeGothic LT Bold" w:hAnsi="TradeGothic LT Bold"/>
                    <w:color w:val="FFFFFF"/>
                    <w:sz w:val="16"/>
                    <w:szCs w:val="16"/>
                  </w:rPr>
                  <w:fldChar w:fldCharType="begin"/>
                </w:r>
                <w:r w:rsidRPr="009F0090">
                  <w:rPr>
                    <w:rStyle w:val="Nmerodepgina"/>
                    <w:rFonts w:ascii="TradeGothic LT Bold" w:hAnsi="TradeGothic LT Bold"/>
                    <w:color w:val="FFFFFF"/>
                    <w:sz w:val="16"/>
                    <w:szCs w:val="16"/>
                  </w:rPr>
                  <w:instrText xml:space="preserve"> PAGE </w:instrText>
                </w:r>
                <w:r w:rsidR="00CE72CE" w:rsidRPr="009F0090">
                  <w:rPr>
                    <w:rStyle w:val="Nmerodepgina"/>
                    <w:rFonts w:ascii="TradeGothic LT Bold" w:hAnsi="TradeGothic LT Bold"/>
                    <w:color w:val="FFFFFF"/>
                    <w:sz w:val="16"/>
                    <w:szCs w:val="16"/>
                  </w:rPr>
                  <w:fldChar w:fldCharType="separate"/>
                </w:r>
                <w:r w:rsidR="006533B8">
                  <w:rPr>
                    <w:rStyle w:val="Nmerodepgina"/>
                    <w:rFonts w:ascii="TradeGothic LT Bold" w:hAnsi="TradeGothic LT Bold"/>
                    <w:noProof/>
                    <w:color w:val="FFFFFF"/>
                    <w:sz w:val="16"/>
                    <w:szCs w:val="16"/>
                  </w:rPr>
                  <w:t>5</w:t>
                </w:r>
                <w:r w:rsidR="00CE72CE" w:rsidRPr="009F0090">
                  <w:rPr>
                    <w:rStyle w:val="Nmerodepgina"/>
                    <w:rFonts w:ascii="TradeGothic LT Bold" w:hAnsi="TradeGothic LT Bold"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6C" w:rsidRDefault="009B016C">
      <w:r>
        <w:separator/>
      </w:r>
    </w:p>
  </w:footnote>
  <w:footnote w:type="continuationSeparator" w:id="0">
    <w:p w:rsidR="009B016C" w:rsidRDefault="009B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E6" w:rsidRDefault="002F4724" w:rsidP="00BB75DE">
    <w:pPr>
      <w:pStyle w:val="Encabezado"/>
      <w:tabs>
        <w:tab w:val="clear" w:pos="8504"/>
        <w:tab w:val="right" w:pos="9000"/>
      </w:tabs>
      <w:ind w:left="-720"/>
      <w:jc w:val="center"/>
    </w:pPr>
    <w:r>
      <w:rPr>
        <w:noProof/>
      </w:rPr>
      <w:drawing>
        <wp:inline distT="0" distB="0" distL="0" distR="0">
          <wp:extent cx="6400800" cy="428625"/>
          <wp:effectExtent l="0" t="0" r="0" b="9525"/>
          <wp:docPr id="1" name="Imagen 1" descr="cabecera-fichas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-fichas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B0D"/>
    <w:multiLevelType w:val="hybridMultilevel"/>
    <w:tmpl w:val="E5E07868"/>
    <w:lvl w:ilvl="0" w:tplc="260ABDB8">
      <w:start w:val="9"/>
      <w:numFmt w:val="bullet"/>
      <w:lvlText w:val="-"/>
      <w:lvlJc w:val="left"/>
      <w:pPr>
        <w:ind w:left="720" w:hanging="360"/>
      </w:pPr>
      <w:rPr>
        <w:rFonts w:ascii="TradeGothic LT" w:eastAsia="Times New Roman" w:hAnsi="TradeGothic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0A70"/>
    <w:multiLevelType w:val="hybridMultilevel"/>
    <w:tmpl w:val="2ED4C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4724"/>
    <w:rsid w:val="00196F7C"/>
    <w:rsid w:val="002F4724"/>
    <w:rsid w:val="006533B8"/>
    <w:rsid w:val="00832340"/>
    <w:rsid w:val="009B016C"/>
    <w:rsid w:val="00CD2066"/>
    <w:rsid w:val="00CE72CE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4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47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F4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47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F4724"/>
    <w:rPr>
      <w:color w:val="0000FF"/>
      <w:u w:val="single"/>
    </w:rPr>
  </w:style>
  <w:style w:type="character" w:styleId="Nmerodepgina">
    <w:name w:val="page number"/>
    <w:basedOn w:val="Fuentedeprrafopredeter"/>
    <w:rsid w:val="002F4724"/>
  </w:style>
  <w:style w:type="paragraph" w:styleId="Prrafodelista">
    <w:name w:val="List Paragraph"/>
    <w:basedOn w:val="Normal"/>
    <w:uiPriority w:val="34"/>
    <w:qFormat/>
    <w:rsid w:val="002F47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72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4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47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F4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47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F4724"/>
    <w:rPr>
      <w:color w:val="0000FF"/>
      <w:u w:val="single"/>
    </w:rPr>
  </w:style>
  <w:style w:type="character" w:styleId="Nmerodepgina">
    <w:name w:val="page number"/>
    <w:basedOn w:val="Fuentedeprrafopredeter"/>
    <w:rsid w:val="002F4724"/>
  </w:style>
  <w:style w:type="paragraph" w:styleId="Prrafodelista">
    <w:name w:val="List Paragraph"/>
    <w:basedOn w:val="Normal"/>
    <w:uiPriority w:val="34"/>
    <w:qFormat/>
    <w:rsid w:val="002F47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72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itucional" TargetMode="External"/><Relationship Id="rId13" Type="http://schemas.openxmlformats.org/officeDocument/2006/relationships/hyperlink" Target="http://www.icj-cij.or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mporras@ugr.es" TargetMode="External"/><Relationship Id="rId12" Type="http://schemas.openxmlformats.org/officeDocument/2006/relationships/hyperlink" Target="http://www.corteidh.or.c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bunalconstitucional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alnet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lnet.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1376</Words>
  <Characters>7569</Characters>
  <Application>Microsoft Office Word</Application>
  <DocSecurity>4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malillo</cp:lastModifiedBy>
  <cp:revision>2</cp:revision>
  <dcterms:created xsi:type="dcterms:W3CDTF">2016-04-18T08:06:00Z</dcterms:created>
  <dcterms:modified xsi:type="dcterms:W3CDTF">2016-04-18T08:06:00Z</dcterms:modified>
</cp:coreProperties>
</file>