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5F" w:rsidRDefault="00E3205F" w:rsidP="00E3205F">
      <w:pPr>
        <w:autoSpaceDE w:val="0"/>
        <w:autoSpaceDN w:val="0"/>
        <w:adjustRightInd w:val="0"/>
        <w:spacing w:after="0" w:line="240" w:lineRule="auto"/>
        <w:jc w:val="center"/>
        <w:rPr>
          <w:rFonts w:ascii="Times New Roman" w:hAnsi="Times New Roman"/>
          <w:b/>
          <w:color w:val="000000"/>
          <w:sz w:val="28"/>
          <w:lang w:eastAsia="es-ES"/>
        </w:rPr>
      </w:pPr>
      <w:r>
        <w:rPr>
          <w:rFonts w:ascii="Times New Roman" w:hAnsi="Times New Roman"/>
          <w:b/>
          <w:color w:val="000000"/>
          <w:sz w:val="28"/>
          <w:lang w:eastAsia="es-ES"/>
        </w:rPr>
        <w:t xml:space="preserve">Línea de Investigación: </w:t>
      </w:r>
      <w:r w:rsidRPr="00E770CC">
        <w:rPr>
          <w:rFonts w:ascii="Times New Roman" w:hAnsi="Times New Roman"/>
          <w:b/>
          <w:color w:val="000000"/>
          <w:sz w:val="28"/>
          <w:lang w:eastAsia="es-ES"/>
        </w:rPr>
        <w:t>Psicología Social de la Desigualdad</w:t>
      </w:r>
    </w:p>
    <w:p w:rsidR="00E3205F" w:rsidRDefault="00E3205F" w:rsidP="00E3205F">
      <w:pPr>
        <w:autoSpaceDE w:val="0"/>
        <w:autoSpaceDN w:val="0"/>
        <w:adjustRightInd w:val="0"/>
        <w:spacing w:after="0" w:line="480" w:lineRule="auto"/>
        <w:rPr>
          <w:rFonts w:ascii="Times New Roman" w:hAnsi="Times New Roman"/>
          <w:color w:val="000000"/>
          <w:lang w:eastAsia="es-ES"/>
        </w:rPr>
      </w:pPr>
    </w:p>
    <w:p w:rsidR="00E3205F" w:rsidRDefault="00E3205F" w:rsidP="00E3205F">
      <w:pPr>
        <w:autoSpaceDE w:val="0"/>
        <w:autoSpaceDN w:val="0"/>
        <w:adjustRightInd w:val="0"/>
        <w:spacing w:after="0" w:line="480" w:lineRule="auto"/>
        <w:rPr>
          <w:rFonts w:ascii="Times New Roman" w:hAnsi="Times New Roman"/>
          <w:color w:val="000000"/>
          <w:u w:val="single"/>
          <w:lang w:eastAsia="es-ES"/>
        </w:rPr>
      </w:pPr>
      <w:r w:rsidRPr="00E770CC">
        <w:rPr>
          <w:rFonts w:ascii="Times New Roman" w:hAnsi="Times New Roman"/>
          <w:color w:val="000000"/>
          <w:u w:val="single"/>
          <w:lang w:eastAsia="es-ES"/>
        </w:rPr>
        <w:t>Soledad de Lemus Martín</w:t>
      </w:r>
      <w:r>
        <w:rPr>
          <w:rFonts w:ascii="Times New Roman" w:hAnsi="Times New Roman"/>
          <w:color w:val="000000"/>
          <w:u w:val="single"/>
          <w:lang w:eastAsia="es-ES"/>
        </w:rPr>
        <w:t xml:space="preserve"> (</w:t>
      </w:r>
      <w:hyperlink r:id="rId6" w:history="1">
        <w:r w:rsidRPr="00E770CC">
          <w:rPr>
            <w:rStyle w:val="Hipervnculo"/>
            <w:rFonts w:ascii="Times New Roman" w:hAnsi="Times New Roman"/>
            <w:lang w:eastAsia="es-ES"/>
          </w:rPr>
          <w:t>web personal</w:t>
        </w:r>
      </w:hyperlink>
      <w:r>
        <w:rPr>
          <w:rFonts w:ascii="Times New Roman" w:hAnsi="Times New Roman"/>
          <w:color w:val="000000"/>
          <w:u w:val="single"/>
          <w:lang w:eastAsia="es-ES"/>
        </w:rPr>
        <w:t>)</w:t>
      </w:r>
    </w:p>
    <w:p w:rsidR="00E3205F" w:rsidRPr="00757894" w:rsidRDefault="00E3205F" w:rsidP="00E3205F">
      <w:pPr>
        <w:autoSpaceDE w:val="0"/>
        <w:autoSpaceDN w:val="0"/>
        <w:adjustRightInd w:val="0"/>
        <w:spacing w:after="0" w:line="480" w:lineRule="auto"/>
        <w:jc w:val="both"/>
        <w:rPr>
          <w:rFonts w:ascii="Times New Roman" w:hAnsi="Times New Roman"/>
          <w:b/>
          <w:color w:val="000000"/>
          <w:lang w:eastAsia="es-ES"/>
        </w:rPr>
      </w:pPr>
      <w:r>
        <w:rPr>
          <w:rFonts w:ascii="Times New Roman" w:hAnsi="Times New Roman"/>
          <w:b/>
          <w:color w:val="000000"/>
          <w:lang w:eastAsia="es-ES"/>
        </w:rPr>
        <w:t>Propuesta</w:t>
      </w:r>
      <w:r w:rsidRPr="00757894">
        <w:rPr>
          <w:rFonts w:ascii="Times New Roman" w:hAnsi="Times New Roman"/>
          <w:b/>
          <w:color w:val="000000"/>
          <w:lang w:eastAsia="es-ES"/>
        </w:rPr>
        <w:t xml:space="preserve"> 1:</w:t>
      </w:r>
      <w:r w:rsidRPr="00757894">
        <w:rPr>
          <w:b/>
        </w:rPr>
        <w:t xml:space="preserve"> </w:t>
      </w:r>
      <w:r w:rsidRPr="00757894">
        <w:rPr>
          <w:rFonts w:ascii="Times New Roman" w:hAnsi="Times New Roman"/>
          <w:b/>
          <w:color w:val="000000"/>
          <w:lang w:eastAsia="es-ES"/>
        </w:rPr>
        <w:t>Reacciones ante situaciones de bajo control (crisis, amenaza a la identidad) y sus consecuencias sociales</w:t>
      </w: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r>
        <w:rPr>
          <w:rFonts w:ascii="Times New Roman" w:hAnsi="Times New Roman"/>
          <w:noProof/>
          <w:color w:val="000000"/>
          <w:lang w:eastAsia="es-ES"/>
        </w:rPr>
        <mc:AlternateContent>
          <mc:Choice Requires="wps">
            <w:drawing>
              <wp:anchor distT="0" distB="0" distL="114300" distR="114300" simplePos="0" relativeHeight="251660288" behindDoc="0" locked="0" layoutInCell="1" allowOverlap="1" wp14:anchorId="001BB20D" wp14:editId="418A56B8">
                <wp:simplePos x="0" y="0"/>
                <wp:positionH relativeFrom="column">
                  <wp:posOffset>-189589</wp:posOffset>
                </wp:positionH>
                <wp:positionV relativeFrom="paragraph">
                  <wp:posOffset>236855</wp:posOffset>
                </wp:positionV>
                <wp:extent cx="6431280" cy="1924216"/>
                <wp:effectExtent l="0" t="0" r="26670" b="1905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1924216"/>
                        </a:xfrm>
                        <a:prstGeom prst="rect">
                          <a:avLst/>
                        </a:prstGeom>
                        <a:solidFill>
                          <a:srgbClr val="FFFFFF"/>
                        </a:solidFill>
                        <a:ln w="9525">
                          <a:solidFill>
                            <a:srgbClr val="000000"/>
                          </a:solidFill>
                          <a:miter lim="800000"/>
                          <a:headEnd/>
                          <a:tailEnd/>
                        </a:ln>
                      </wps:spPr>
                      <wps:txbx>
                        <w:txbxContent>
                          <w:p w:rsidR="00E3205F" w:rsidRPr="00F735F3" w:rsidRDefault="00E3205F" w:rsidP="00E3205F">
                            <w:r>
                              <w:t xml:space="preserve">Las situaciones en las que las personas nos sentimos con bajo control sobre lo que nos sucede (p.ej., miedo al desempleo, crisis económica, amenaza a la identidad grupal) dan lugar a una serie de respuestas mediante las que intentamos restaurar nuestra sensación de control (control percibido). Por ejemplo, algunas investigaciones recientes proponen que ante la crisis económica, se ha incrementado el prejuicio hacia algunos grupos (ej., inmigrantes), sin embargo, otras investigaciones muestran que se incrementa la solidaridad hacia grupos que están también en situación de bajo control (ej., griegos). En parte dichos efectos pueden deberse a la pertenencia grupal de los individuos y su identidad grupal. El objetivo fundamental de esta línea es  estudiar procesos grupales (eficacia grupal, percepción de normas sociales) relacionados con las reacciones ante la falta de control personal ante situaciones de crisis o amenaza a la identidad social.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95pt;margin-top:18.65pt;width:506.4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">
                <v:textbox>
                  <w:txbxContent>
                    <w:p w:rsidR="00E3205F" w:rsidRPr="00F735F3" w:rsidRDefault="00E3205F" w:rsidP="00E3205F">
                      <w:r>
                        <w:t xml:space="preserve">Las situaciones en las que las personas nos sentimos con bajo control sobre lo que nos sucede (p.ej., miedo al desempleo, crisis económica, amenaza a la identidad grupal) dan lugar a una serie de respuestas mediante las que intentamos restaurar nuestra sensación de control (control percibido). Por ejemplo, algunas investigaciones recientes proponen que ante la crisis económica, se ha incrementado el prejuicio hacia algunos grupos (ej., inmigrantes), sin embargo, otras investigaciones muestran que se incrementa la solidaridad hacia grupos que están también en situación de bajo control (ej., griegos). En parte dichos efectos pueden deberse a la pertenencia grupal de los individuos y su identidad grupal. El objetivo fundamental de esta línea es  estudiar procesos grupales (eficacia grupal, percepción de normas sociales) relacionados con las reacciones ante la falta de control personal ante situaciones de crisis o amenaza a la identidad social. </w:t>
                      </w:r>
                    </w:p>
                  </w:txbxContent>
                </v:textbox>
              </v:shape>
            </w:pict>
          </mc:Fallback>
        </mc:AlternateContent>
      </w:r>
      <w:r>
        <w:rPr>
          <w:rFonts w:ascii="Times New Roman" w:hAnsi="Times New Roman"/>
          <w:color w:val="000000"/>
          <w:lang w:eastAsia="es-ES"/>
        </w:rPr>
        <w:t>Breve descripción (No más de 150 palabras):</w:t>
      </w: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Pr="009619DB" w:rsidRDefault="00E3205F" w:rsidP="00E3205F">
      <w:pPr>
        <w:autoSpaceDE w:val="0"/>
        <w:autoSpaceDN w:val="0"/>
        <w:adjustRightInd w:val="0"/>
        <w:spacing w:after="0" w:line="480" w:lineRule="auto"/>
        <w:jc w:val="both"/>
        <w:rPr>
          <w:rFonts w:asciiTheme="minorHAnsi" w:hAnsiTheme="minorHAnsi" w:cstheme="minorHAnsi"/>
          <w:color w:val="000000"/>
          <w:lang w:eastAsia="es-ES"/>
        </w:rPr>
      </w:pPr>
      <w:r w:rsidRPr="009619DB">
        <w:rPr>
          <w:rFonts w:asciiTheme="minorHAnsi" w:hAnsiTheme="minorHAnsi" w:cstheme="minorHAnsi"/>
          <w:color w:val="000000"/>
          <w:lang w:eastAsia="es-ES"/>
        </w:rPr>
        <w:t xml:space="preserve">Bibliografía de interés: </w:t>
      </w:r>
    </w:p>
    <w:p w:rsidR="00E3205F" w:rsidRPr="009619DB" w:rsidRDefault="00E3205F" w:rsidP="00E3205F">
      <w:pPr>
        <w:rPr>
          <w:rFonts w:asciiTheme="minorHAnsi" w:hAnsiTheme="minorHAnsi" w:cstheme="minorHAnsi"/>
          <w:i/>
          <w:lang w:val="en-US"/>
        </w:rPr>
      </w:pPr>
      <w:proofErr w:type="spellStart"/>
      <w:r w:rsidRPr="009619DB">
        <w:rPr>
          <w:rFonts w:asciiTheme="minorHAnsi" w:hAnsiTheme="minorHAnsi" w:cstheme="minorHAnsi"/>
        </w:rPr>
        <w:t>Bukowski</w:t>
      </w:r>
      <w:proofErr w:type="spellEnd"/>
      <w:r w:rsidRPr="009619DB">
        <w:rPr>
          <w:rFonts w:asciiTheme="minorHAnsi" w:hAnsiTheme="minorHAnsi" w:cstheme="minorHAnsi"/>
        </w:rPr>
        <w:t xml:space="preserve">, M., </w:t>
      </w:r>
      <w:r w:rsidRPr="009619DB">
        <w:rPr>
          <w:rFonts w:asciiTheme="minorHAnsi" w:hAnsiTheme="minorHAnsi" w:cstheme="minorHAnsi"/>
          <w:b/>
        </w:rPr>
        <w:t>de Lemus, S.,</w:t>
      </w:r>
      <w:r w:rsidRPr="009619DB">
        <w:rPr>
          <w:rFonts w:asciiTheme="minorHAnsi" w:hAnsiTheme="minorHAnsi" w:cstheme="minorHAnsi"/>
        </w:rPr>
        <w:t xml:space="preserve"> Rodríguez-Bailón, R., &amp; Willis, G.B. (2016). </w:t>
      </w:r>
      <w:r w:rsidRPr="009619DB">
        <w:rPr>
          <w:rFonts w:asciiTheme="minorHAnsi" w:hAnsiTheme="minorHAnsi" w:cstheme="minorHAnsi"/>
          <w:lang w:val="en-US"/>
        </w:rPr>
        <w:t xml:space="preserve">Who’s to blame? </w:t>
      </w:r>
      <w:proofErr w:type="gramStart"/>
      <w:r w:rsidRPr="009619DB">
        <w:rPr>
          <w:rFonts w:asciiTheme="minorHAnsi" w:hAnsiTheme="minorHAnsi" w:cstheme="minorHAnsi"/>
          <w:lang w:val="en-US"/>
        </w:rPr>
        <w:t>Causal attributions of the economic crisis and personal control.</w:t>
      </w:r>
      <w:proofErr w:type="gramEnd"/>
      <w:r w:rsidRPr="009619DB">
        <w:rPr>
          <w:rFonts w:asciiTheme="minorHAnsi" w:hAnsiTheme="minorHAnsi" w:cstheme="minorHAnsi"/>
          <w:lang w:val="en-US"/>
        </w:rPr>
        <w:t xml:space="preserve"> </w:t>
      </w:r>
      <w:proofErr w:type="gramStart"/>
      <w:r w:rsidRPr="009619DB">
        <w:rPr>
          <w:rFonts w:asciiTheme="minorHAnsi" w:hAnsiTheme="minorHAnsi" w:cstheme="minorHAnsi"/>
          <w:i/>
          <w:lang w:val="en-US"/>
        </w:rPr>
        <w:t>Group Processes &amp; Intergroup Relations,</w:t>
      </w:r>
      <w:r w:rsidRPr="009619DB">
        <w:rPr>
          <w:rFonts w:asciiTheme="minorHAnsi" w:hAnsiTheme="minorHAnsi" w:cstheme="minorHAnsi"/>
          <w:lang w:val="en-US"/>
        </w:rPr>
        <w:t xml:space="preserve"> </w:t>
      </w:r>
      <w:r w:rsidRPr="009619DB">
        <w:rPr>
          <w:rFonts w:asciiTheme="minorHAnsi" w:hAnsiTheme="minorHAnsi" w:cstheme="minorHAnsi"/>
          <w:i/>
          <w:lang w:val="en-US"/>
        </w:rPr>
        <w:t>in press.</w:t>
      </w:r>
      <w:proofErr w:type="gramEnd"/>
    </w:p>
    <w:p w:rsidR="00E3205F" w:rsidRPr="00E3205F" w:rsidRDefault="00E3205F" w:rsidP="00E3205F">
      <w:pPr>
        <w:rPr>
          <w:rFonts w:asciiTheme="minorHAnsi" w:hAnsiTheme="minorHAnsi" w:cstheme="minorHAnsi"/>
          <w:i/>
          <w:iCs/>
          <w:lang w:val="en-US"/>
        </w:rPr>
      </w:pPr>
      <w:proofErr w:type="spellStart"/>
      <w:r w:rsidRPr="009619DB">
        <w:rPr>
          <w:rFonts w:asciiTheme="minorHAnsi" w:hAnsiTheme="minorHAnsi" w:cstheme="minorHAnsi"/>
          <w:lang w:val="en-US"/>
        </w:rPr>
        <w:t>Fritsche</w:t>
      </w:r>
      <w:proofErr w:type="spellEnd"/>
      <w:r w:rsidRPr="009619DB">
        <w:rPr>
          <w:rFonts w:asciiTheme="minorHAnsi" w:hAnsiTheme="minorHAnsi" w:cstheme="minorHAnsi"/>
          <w:lang w:val="en-US"/>
        </w:rPr>
        <w:t xml:space="preserve">, I., Moya, M., Bukowski, M., </w:t>
      </w:r>
      <w:proofErr w:type="spellStart"/>
      <w:r w:rsidRPr="009619DB">
        <w:rPr>
          <w:rFonts w:asciiTheme="minorHAnsi" w:hAnsiTheme="minorHAnsi" w:cstheme="minorHAnsi"/>
          <w:lang w:val="en-US"/>
        </w:rPr>
        <w:t>Jugert</w:t>
      </w:r>
      <w:proofErr w:type="spellEnd"/>
      <w:r w:rsidRPr="009619DB">
        <w:rPr>
          <w:rFonts w:asciiTheme="minorHAnsi" w:hAnsiTheme="minorHAnsi" w:cstheme="minorHAnsi"/>
          <w:lang w:val="en-US"/>
        </w:rPr>
        <w:t xml:space="preserve">, P., </w:t>
      </w:r>
      <w:r w:rsidRPr="009619DB">
        <w:rPr>
          <w:rFonts w:asciiTheme="minorHAnsi" w:hAnsiTheme="minorHAnsi" w:cstheme="minorHAnsi"/>
          <w:b/>
          <w:lang w:val="en-US"/>
        </w:rPr>
        <w:t>de Lemus, S.,</w:t>
      </w:r>
      <w:r w:rsidRPr="009619DB">
        <w:rPr>
          <w:rFonts w:asciiTheme="minorHAnsi" w:hAnsiTheme="minorHAnsi" w:cstheme="minorHAnsi"/>
          <w:lang w:val="en-US"/>
        </w:rPr>
        <w:t xml:space="preserve"> Decker, O., Valor- Segura, I., &amp; Navarro-Carrillo, G. (2016). The great recession and group- based control: Converting personal helplessness into social class </w:t>
      </w:r>
      <w:proofErr w:type="spellStart"/>
      <w:r w:rsidRPr="009619DB">
        <w:rPr>
          <w:rFonts w:asciiTheme="minorHAnsi" w:hAnsiTheme="minorHAnsi" w:cstheme="minorHAnsi"/>
          <w:lang w:val="en-US"/>
        </w:rPr>
        <w:t>ingroup</w:t>
      </w:r>
      <w:proofErr w:type="spellEnd"/>
      <w:r w:rsidRPr="009619DB">
        <w:rPr>
          <w:rFonts w:asciiTheme="minorHAnsi" w:hAnsiTheme="minorHAnsi" w:cstheme="minorHAnsi"/>
          <w:lang w:val="en-US"/>
        </w:rPr>
        <w:t xml:space="preserve"> trust </w:t>
      </w:r>
      <w:proofErr w:type="gramStart"/>
      <w:r w:rsidRPr="009619DB">
        <w:rPr>
          <w:rFonts w:asciiTheme="minorHAnsi" w:hAnsiTheme="minorHAnsi" w:cstheme="minorHAnsi"/>
          <w:lang w:val="en-US"/>
        </w:rPr>
        <w:t>a</w:t>
      </w:r>
      <w:proofErr w:type="gramEnd"/>
      <w:r w:rsidRPr="009619DB">
        <w:rPr>
          <w:rFonts w:asciiTheme="minorHAnsi" w:hAnsiTheme="minorHAnsi" w:cstheme="minorHAnsi"/>
          <w:lang w:val="en-US"/>
        </w:rPr>
        <w:t xml:space="preserve"> </w:t>
      </w:r>
      <w:proofErr w:type="spellStart"/>
      <w:r w:rsidRPr="009619DB">
        <w:rPr>
          <w:rFonts w:asciiTheme="minorHAnsi" w:hAnsiTheme="minorHAnsi" w:cstheme="minorHAnsi"/>
          <w:lang w:val="en-US"/>
        </w:rPr>
        <w:t>nd</w:t>
      </w:r>
      <w:proofErr w:type="spellEnd"/>
      <w:r w:rsidRPr="009619DB">
        <w:rPr>
          <w:rFonts w:asciiTheme="minorHAnsi" w:hAnsiTheme="minorHAnsi" w:cstheme="minorHAnsi"/>
          <w:lang w:val="en-US"/>
        </w:rPr>
        <w:t xml:space="preserve"> collective action. </w:t>
      </w:r>
      <w:proofErr w:type="gramStart"/>
      <w:r w:rsidRPr="00E3205F">
        <w:rPr>
          <w:rFonts w:asciiTheme="minorHAnsi" w:hAnsiTheme="minorHAnsi" w:cstheme="minorHAnsi"/>
          <w:i/>
          <w:iCs/>
          <w:lang w:val="en-US"/>
        </w:rPr>
        <w:t>Journal of Social Issues.</w:t>
      </w:r>
      <w:proofErr w:type="gramEnd"/>
      <w:r w:rsidRPr="00E3205F">
        <w:rPr>
          <w:rFonts w:asciiTheme="minorHAnsi" w:hAnsiTheme="minorHAnsi" w:cstheme="minorHAnsi"/>
          <w:i/>
          <w:iCs/>
          <w:lang w:val="en-US"/>
        </w:rPr>
        <w:t xml:space="preserve"> </w:t>
      </w:r>
    </w:p>
    <w:p w:rsidR="00E3205F" w:rsidRPr="00E3205F" w:rsidRDefault="00E3205F" w:rsidP="00E3205F">
      <w:pPr>
        <w:jc w:val="both"/>
        <w:rPr>
          <w:rFonts w:asciiTheme="minorHAnsi" w:hAnsiTheme="minorHAnsi" w:cstheme="minorHAnsi"/>
          <w:bCs/>
          <w:iCs/>
        </w:rPr>
      </w:pPr>
      <w:proofErr w:type="gramStart"/>
      <w:r w:rsidRPr="00E3205F">
        <w:rPr>
          <w:rFonts w:asciiTheme="minorHAnsi" w:hAnsiTheme="minorHAnsi" w:cstheme="minorHAnsi"/>
          <w:b/>
          <w:bCs/>
          <w:iCs/>
          <w:lang w:val="en-US"/>
        </w:rPr>
        <w:t>de</w:t>
      </w:r>
      <w:proofErr w:type="gramEnd"/>
      <w:r w:rsidRPr="00E3205F">
        <w:rPr>
          <w:rFonts w:asciiTheme="minorHAnsi" w:hAnsiTheme="minorHAnsi" w:cstheme="minorHAnsi"/>
          <w:b/>
          <w:bCs/>
          <w:iCs/>
          <w:lang w:val="en-US"/>
        </w:rPr>
        <w:t xml:space="preserve"> Lemus, S.,</w:t>
      </w:r>
      <w:r w:rsidRPr="00E3205F">
        <w:rPr>
          <w:rFonts w:asciiTheme="minorHAnsi" w:hAnsiTheme="minorHAnsi" w:cstheme="minorHAnsi"/>
          <w:bCs/>
          <w:iCs/>
          <w:lang w:val="en-US"/>
        </w:rPr>
        <w:t xml:space="preserve"> Spears, R., van Breen, J. &amp; </w:t>
      </w:r>
      <w:proofErr w:type="spellStart"/>
      <w:r w:rsidRPr="00E3205F">
        <w:rPr>
          <w:rFonts w:asciiTheme="minorHAnsi" w:hAnsiTheme="minorHAnsi" w:cstheme="minorHAnsi"/>
          <w:bCs/>
          <w:iCs/>
          <w:lang w:val="en-US"/>
        </w:rPr>
        <w:t>Telga</w:t>
      </w:r>
      <w:proofErr w:type="spellEnd"/>
      <w:r w:rsidRPr="00E3205F">
        <w:rPr>
          <w:rFonts w:asciiTheme="minorHAnsi" w:hAnsiTheme="minorHAnsi" w:cstheme="minorHAnsi"/>
          <w:bCs/>
          <w:iCs/>
          <w:lang w:val="en-US"/>
        </w:rPr>
        <w:t xml:space="preserve">, M. Y. (2017). </w:t>
      </w:r>
      <w:proofErr w:type="gramStart"/>
      <w:r w:rsidRPr="009619DB">
        <w:rPr>
          <w:rFonts w:asciiTheme="minorHAnsi" w:hAnsiTheme="minorHAnsi" w:cstheme="minorHAnsi"/>
          <w:lang w:val="en-US"/>
        </w:rPr>
        <w:t>Coping with identity threats to group control as well as group value: Explicit and implicit routes to resistance.</w:t>
      </w:r>
      <w:proofErr w:type="gramEnd"/>
      <w:r w:rsidRPr="009619DB">
        <w:rPr>
          <w:rFonts w:asciiTheme="minorHAnsi" w:hAnsiTheme="minorHAnsi" w:cstheme="minorHAnsi"/>
          <w:bCs/>
          <w:iCs/>
          <w:lang w:val="en-US"/>
        </w:rPr>
        <w:t xml:space="preserve"> </w:t>
      </w:r>
      <w:proofErr w:type="spellStart"/>
      <w:r w:rsidRPr="009619DB">
        <w:rPr>
          <w:rFonts w:asciiTheme="minorHAnsi" w:hAnsiTheme="minorHAnsi" w:cstheme="minorHAnsi"/>
          <w:bCs/>
          <w:iCs/>
          <w:lang w:val="en-US"/>
        </w:rPr>
        <w:t>En</w:t>
      </w:r>
      <w:proofErr w:type="spellEnd"/>
      <w:r w:rsidRPr="009619DB">
        <w:rPr>
          <w:rFonts w:asciiTheme="minorHAnsi" w:hAnsiTheme="minorHAnsi" w:cstheme="minorHAnsi"/>
          <w:bCs/>
          <w:iCs/>
          <w:lang w:val="en-US"/>
        </w:rPr>
        <w:t xml:space="preserve"> </w:t>
      </w:r>
      <w:r w:rsidRPr="00E3205F">
        <w:rPr>
          <w:rFonts w:asciiTheme="minorHAnsi" w:hAnsiTheme="minorHAnsi" w:cstheme="minorHAnsi"/>
          <w:lang w:val="en-US"/>
        </w:rPr>
        <w:t xml:space="preserve">M. Bukowski, I. </w:t>
      </w:r>
      <w:proofErr w:type="spellStart"/>
      <w:r w:rsidRPr="00E3205F">
        <w:rPr>
          <w:rFonts w:asciiTheme="minorHAnsi" w:hAnsiTheme="minorHAnsi" w:cstheme="minorHAnsi"/>
          <w:lang w:val="en-US"/>
        </w:rPr>
        <w:t>Fritsche</w:t>
      </w:r>
      <w:proofErr w:type="spellEnd"/>
      <w:r w:rsidRPr="00E3205F">
        <w:rPr>
          <w:rFonts w:asciiTheme="minorHAnsi" w:hAnsiTheme="minorHAnsi" w:cstheme="minorHAnsi"/>
          <w:lang w:val="en-US"/>
        </w:rPr>
        <w:t xml:space="preserve">, A. </w:t>
      </w:r>
      <w:proofErr w:type="spellStart"/>
      <w:r w:rsidRPr="00E3205F">
        <w:rPr>
          <w:rFonts w:asciiTheme="minorHAnsi" w:hAnsiTheme="minorHAnsi" w:cstheme="minorHAnsi"/>
          <w:lang w:val="en-US"/>
        </w:rPr>
        <w:t>Guinote</w:t>
      </w:r>
      <w:proofErr w:type="spellEnd"/>
      <w:r w:rsidRPr="00E3205F">
        <w:rPr>
          <w:rFonts w:asciiTheme="minorHAnsi" w:hAnsiTheme="minorHAnsi" w:cstheme="minorHAnsi"/>
          <w:lang w:val="en-US"/>
        </w:rPr>
        <w:t xml:space="preserve"> &amp; M. </w:t>
      </w:r>
      <w:proofErr w:type="spellStart"/>
      <w:r w:rsidRPr="00E3205F">
        <w:rPr>
          <w:rFonts w:asciiTheme="minorHAnsi" w:hAnsiTheme="minorHAnsi" w:cstheme="minorHAnsi"/>
          <w:lang w:val="en-US"/>
        </w:rPr>
        <w:t>Kofta</w:t>
      </w:r>
      <w:proofErr w:type="spellEnd"/>
      <w:r w:rsidRPr="00E3205F">
        <w:rPr>
          <w:rFonts w:asciiTheme="minorHAnsi" w:hAnsiTheme="minorHAnsi" w:cstheme="minorHAnsi"/>
          <w:lang w:val="en-US"/>
        </w:rPr>
        <w:t xml:space="preserve"> (Eds.) </w:t>
      </w:r>
      <w:r w:rsidRPr="009619DB">
        <w:rPr>
          <w:rFonts w:asciiTheme="minorHAnsi" w:hAnsiTheme="minorHAnsi" w:cstheme="minorHAnsi"/>
          <w:lang w:val="en-US"/>
        </w:rPr>
        <w:t xml:space="preserve">Coping with Lack of Control in a Social World. </w:t>
      </w:r>
      <w:proofErr w:type="spellStart"/>
      <w:r w:rsidRPr="00E3205F">
        <w:rPr>
          <w:rFonts w:asciiTheme="minorHAnsi" w:hAnsiTheme="minorHAnsi" w:cstheme="minorHAnsi"/>
        </w:rPr>
        <w:t>Routledge</w:t>
      </w:r>
      <w:proofErr w:type="spellEnd"/>
      <w:r w:rsidRPr="00E3205F">
        <w:rPr>
          <w:rFonts w:asciiTheme="minorHAnsi" w:hAnsiTheme="minorHAnsi" w:cstheme="minorHAnsi"/>
        </w:rPr>
        <w:t xml:space="preserve"> </w:t>
      </w:r>
      <w:proofErr w:type="spellStart"/>
      <w:r w:rsidRPr="00E3205F">
        <w:rPr>
          <w:rFonts w:asciiTheme="minorHAnsi" w:hAnsiTheme="minorHAnsi" w:cstheme="minorHAnsi"/>
        </w:rPr>
        <w:t>Psychology</w:t>
      </w:r>
      <w:proofErr w:type="spellEnd"/>
      <w:r w:rsidRPr="00E3205F">
        <w:rPr>
          <w:rFonts w:asciiTheme="minorHAnsi" w:hAnsiTheme="minorHAnsi" w:cstheme="minorHAnsi"/>
        </w:rPr>
        <w:t xml:space="preserve"> </w:t>
      </w:r>
      <w:proofErr w:type="spellStart"/>
      <w:r w:rsidRPr="00E3205F">
        <w:rPr>
          <w:rFonts w:asciiTheme="minorHAnsi" w:hAnsiTheme="minorHAnsi" w:cstheme="minorHAnsi"/>
        </w:rPr>
        <w:t>Press</w:t>
      </w:r>
      <w:proofErr w:type="spellEnd"/>
      <w:r w:rsidRPr="00E3205F">
        <w:rPr>
          <w:rFonts w:asciiTheme="minorHAnsi" w:hAnsiTheme="minorHAnsi" w:cstheme="minorHAnsi"/>
        </w:rPr>
        <w:t>.</w:t>
      </w:r>
    </w:p>
    <w:p w:rsidR="00E3205F" w:rsidRPr="00654022" w:rsidRDefault="00E3205F" w:rsidP="00E3205F"/>
    <w:p w:rsidR="00E3205F" w:rsidRDefault="00E3205F" w:rsidP="00E3205F">
      <w:pPr>
        <w:rPr>
          <w:rFonts w:ascii="Times New Roman" w:hAnsi="Times New Roman"/>
          <w:color w:val="000000"/>
          <w:u w:val="single"/>
          <w:lang w:eastAsia="es-ES"/>
        </w:rPr>
      </w:pPr>
      <w:r>
        <w:rPr>
          <w:rFonts w:ascii="Times New Roman" w:hAnsi="Times New Roman"/>
          <w:color w:val="000000"/>
          <w:u w:val="single"/>
          <w:lang w:eastAsia="es-ES"/>
        </w:rPr>
        <w:br w:type="page"/>
      </w:r>
    </w:p>
    <w:p w:rsidR="00E3205F" w:rsidRPr="00E770CC" w:rsidRDefault="00E3205F" w:rsidP="00E3205F">
      <w:pPr>
        <w:autoSpaceDE w:val="0"/>
        <w:autoSpaceDN w:val="0"/>
        <w:adjustRightInd w:val="0"/>
        <w:spacing w:after="0" w:line="480" w:lineRule="auto"/>
        <w:rPr>
          <w:rFonts w:ascii="Times New Roman" w:hAnsi="Times New Roman"/>
          <w:color w:val="000000"/>
          <w:u w:val="single"/>
          <w:lang w:eastAsia="es-ES"/>
        </w:rPr>
      </w:pPr>
    </w:p>
    <w:p w:rsidR="00E3205F" w:rsidRPr="00A11208" w:rsidRDefault="00E3205F" w:rsidP="00E3205F">
      <w:pPr>
        <w:autoSpaceDE w:val="0"/>
        <w:autoSpaceDN w:val="0"/>
        <w:adjustRightInd w:val="0"/>
        <w:spacing w:after="0" w:line="480" w:lineRule="auto"/>
        <w:jc w:val="center"/>
        <w:rPr>
          <w:rFonts w:ascii="Times New Roman" w:hAnsi="Times New Roman"/>
          <w:color w:val="000000"/>
          <w:sz w:val="6"/>
          <w:lang w:eastAsia="es-ES"/>
        </w:rPr>
      </w:pPr>
    </w:p>
    <w:p w:rsidR="00E3205F" w:rsidRPr="00757894" w:rsidRDefault="00E3205F" w:rsidP="00E3205F">
      <w:pPr>
        <w:autoSpaceDE w:val="0"/>
        <w:autoSpaceDN w:val="0"/>
        <w:adjustRightInd w:val="0"/>
        <w:spacing w:after="0" w:line="480" w:lineRule="auto"/>
        <w:jc w:val="both"/>
        <w:rPr>
          <w:rFonts w:ascii="Times New Roman" w:hAnsi="Times New Roman"/>
          <w:b/>
          <w:color w:val="000000"/>
          <w:lang w:eastAsia="es-ES"/>
        </w:rPr>
      </w:pPr>
      <w:r>
        <w:rPr>
          <w:rFonts w:ascii="Times New Roman" w:hAnsi="Times New Roman"/>
          <w:b/>
          <w:color w:val="000000"/>
          <w:lang w:eastAsia="es-ES"/>
        </w:rPr>
        <w:t>Propuesta</w:t>
      </w:r>
      <w:r w:rsidRPr="00757894">
        <w:rPr>
          <w:rFonts w:ascii="Times New Roman" w:hAnsi="Times New Roman"/>
          <w:b/>
          <w:color w:val="000000"/>
          <w:lang w:eastAsia="es-ES"/>
        </w:rPr>
        <w:t xml:space="preserve"> 2:</w:t>
      </w:r>
      <w:r w:rsidRPr="00757894">
        <w:rPr>
          <w:b/>
        </w:rPr>
        <w:t xml:space="preserve"> </w:t>
      </w:r>
      <w:r w:rsidRPr="00757894">
        <w:rPr>
          <w:rFonts w:ascii="Times New Roman" w:hAnsi="Times New Roman"/>
          <w:b/>
          <w:color w:val="000000"/>
          <w:lang w:eastAsia="es-ES"/>
        </w:rPr>
        <w:t>Reacciones ante el sexismo y las desigualdades sociales</w:t>
      </w: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r>
        <w:rPr>
          <w:rFonts w:ascii="Times New Roman" w:hAnsi="Times New Roman"/>
          <w:noProof/>
          <w:color w:val="000000"/>
          <w:lang w:eastAsia="es-ES"/>
        </w:rPr>
        <mc:AlternateContent>
          <mc:Choice Requires="wps">
            <w:drawing>
              <wp:anchor distT="0" distB="0" distL="114300" distR="114300" simplePos="0" relativeHeight="251659264" behindDoc="0" locked="0" layoutInCell="1" allowOverlap="1" wp14:anchorId="732D9AF2" wp14:editId="379E36CB">
                <wp:simplePos x="0" y="0"/>
                <wp:positionH relativeFrom="column">
                  <wp:posOffset>-189589</wp:posOffset>
                </wp:positionH>
                <wp:positionV relativeFrom="paragraph">
                  <wp:posOffset>236855</wp:posOffset>
                </wp:positionV>
                <wp:extent cx="6431280" cy="1924216"/>
                <wp:effectExtent l="0" t="0" r="2667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1924216"/>
                        </a:xfrm>
                        <a:prstGeom prst="rect">
                          <a:avLst/>
                        </a:prstGeom>
                        <a:solidFill>
                          <a:srgbClr val="FFFFFF"/>
                        </a:solidFill>
                        <a:ln w="9525">
                          <a:solidFill>
                            <a:srgbClr val="000000"/>
                          </a:solidFill>
                          <a:miter lim="800000"/>
                          <a:headEnd/>
                          <a:tailEnd/>
                        </a:ln>
                      </wps:spPr>
                      <wps:txbx>
                        <w:txbxContent>
                          <w:p w:rsidR="00E3205F" w:rsidRPr="00F735F3" w:rsidRDefault="00E3205F" w:rsidP="00E3205F">
                            <w:r>
                              <w:t>Los miembros de grupos sociales minoritarios (ej., mujeres, inmigrantes…) a menudo se enfrentan a situaciones en los que son discriminados por su pertenencia grupal. Ante una situación de discriminación, las personas que la experimentan pueden reaccionar confrontándola de forma más directa o explícita (</w:t>
                            </w:r>
                            <w:proofErr w:type="spellStart"/>
                            <w:r>
                              <w:t>e.g</w:t>
                            </w:r>
                            <w:proofErr w:type="spellEnd"/>
                            <w:r>
                              <w:t>., expresando su disconformidad clara con la situación) o más indirecta o implícita (</w:t>
                            </w:r>
                            <w:proofErr w:type="spellStart"/>
                            <w:r>
                              <w:t>e.g</w:t>
                            </w:r>
                            <w:proofErr w:type="spellEnd"/>
                            <w:r>
                              <w:t xml:space="preserve">., utilizando el humor, frunciendo el ceño, o a nivel más básico, activando unos conceptos u otros tanto a nivel semántico como afectivo). El objetivo fundamental de esta línea será  estudiar procesos relacionados con la resistencia tanto a nivel explícito (p.ej., confrontación, protestas, acciones colectivas) como implícito (p.ej., activación de sesgo </w:t>
                            </w:r>
                            <w:proofErr w:type="spellStart"/>
                            <w:r>
                              <w:t>endogrupal</w:t>
                            </w:r>
                            <w:proofErr w:type="spellEnd"/>
                            <w:r>
                              <w:t xml:space="preserve">, inhibición de estereotipos) a situaciones de desigualdad por parte de los miembros de grupos en desventaja social. </w:t>
                            </w:r>
                          </w:p>
                          <w:p w:rsidR="00E3205F" w:rsidRPr="00F735F3" w:rsidRDefault="00E3205F" w:rsidP="00E320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95pt;margin-top:18.65pt;width:506.4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">
                <v:textbox>
                  <w:txbxContent>
                    <w:p w:rsidR="00E3205F" w:rsidRPr="00F735F3" w:rsidRDefault="00E3205F" w:rsidP="00E3205F">
                      <w:r>
                        <w:t>Los miembros de grupos sociales minoritarios (ej., mujeres, inmigrantes…) a menudo se enfrentan a situaciones en los que son discriminados por su pertenencia grupal. Ante una situación de discriminación, las personas que la experimentan pueden reaccionar confrontándola de forma más directa o explícita (</w:t>
                      </w:r>
                      <w:proofErr w:type="spellStart"/>
                      <w:r>
                        <w:t>e.g</w:t>
                      </w:r>
                      <w:proofErr w:type="spellEnd"/>
                      <w:r>
                        <w:t>., expresando su disconformidad clara con la situación) o más indirecta o implícita (</w:t>
                      </w:r>
                      <w:proofErr w:type="spellStart"/>
                      <w:r>
                        <w:t>e.g</w:t>
                      </w:r>
                      <w:proofErr w:type="spellEnd"/>
                      <w:r>
                        <w:t xml:space="preserve">., utilizando el humor, frunciendo el ceño, o a nivel más básico, activando unos conceptos u otros tanto a nivel semántico como afectivo). El objetivo fundamental de esta línea será  estudiar procesos relacionados con la resistencia tanto a nivel explícito (p.ej., confrontación, protestas, acciones colectivas) como implícito (p.ej., activación de sesgo </w:t>
                      </w:r>
                      <w:proofErr w:type="spellStart"/>
                      <w:r>
                        <w:t>endogrupal</w:t>
                      </w:r>
                      <w:proofErr w:type="spellEnd"/>
                      <w:r>
                        <w:t xml:space="preserve">, inhibición de estereotipos) a situaciones de desigualdad por parte de los miembros de grupos en desventaja social. </w:t>
                      </w:r>
                    </w:p>
                    <w:p w:rsidR="00E3205F" w:rsidRPr="00F735F3" w:rsidRDefault="00E3205F" w:rsidP="00E3205F"/>
                  </w:txbxContent>
                </v:textbox>
              </v:shape>
            </w:pict>
          </mc:Fallback>
        </mc:AlternateContent>
      </w:r>
      <w:r>
        <w:rPr>
          <w:rFonts w:ascii="Times New Roman" w:hAnsi="Times New Roman"/>
          <w:color w:val="000000"/>
          <w:lang w:eastAsia="es-ES"/>
        </w:rPr>
        <w:t>Breve descripción (No más de 150 palabras):</w:t>
      </w: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r>
        <w:rPr>
          <w:rFonts w:ascii="Times New Roman" w:hAnsi="Times New Roman"/>
          <w:color w:val="000000"/>
          <w:lang w:eastAsia="es-ES"/>
        </w:rPr>
        <w:t xml:space="preserve">Bibliografía de interés: </w:t>
      </w:r>
    </w:p>
    <w:p w:rsidR="00E3205F" w:rsidRDefault="00E3205F" w:rsidP="00E3205F">
      <w:bookmarkStart w:id="0" w:name="_GoBack"/>
      <w:bookmarkEnd w:id="0"/>
    </w:p>
    <w:p w:rsidR="00E3205F" w:rsidRDefault="00E3205F" w:rsidP="00E3205F">
      <w:pPr>
        <w:autoSpaceDE w:val="0"/>
        <w:autoSpaceDN w:val="0"/>
        <w:adjustRightInd w:val="0"/>
        <w:spacing w:after="0" w:line="480" w:lineRule="auto"/>
        <w:jc w:val="both"/>
        <w:rPr>
          <w:rFonts w:ascii="Times New Roman" w:hAnsi="Times New Roman"/>
          <w:color w:val="000000"/>
          <w:lang w:eastAsia="es-ES"/>
        </w:rPr>
      </w:pPr>
      <w:r>
        <w:rPr>
          <w:rFonts w:ascii="Times New Roman" w:hAnsi="Times New Roman"/>
          <w:color w:val="000000"/>
          <w:lang w:eastAsia="es-ES"/>
        </w:rPr>
        <w:t xml:space="preserve">Bibliografía de interés: </w:t>
      </w:r>
    </w:p>
    <w:p w:rsidR="00E3205F" w:rsidRPr="009619DB" w:rsidRDefault="00E3205F" w:rsidP="00E3205F">
      <w:pPr>
        <w:jc w:val="both"/>
        <w:rPr>
          <w:rFonts w:asciiTheme="minorHAnsi" w:hAnsiTheme="minorHAnsi" w:cstheme="minorHAnsi"/>
          <w:lang w:val="en-US"/>
        </w:rPr>
      </w:pPr>
      <w:proofErr w:type="spellStart"/>
      <w:r w:rsidRPr="009619DB">
        <w:rPr>
          <w:rFonts w:asciiTheme="minorHAnsi" w:hAnsiTheme="minorHAnsi" w:cstheme="minorHAnsi"/>
          <w:bCs/>
          <w:iCs/>
        </w:rPr>
        <w:t>Stroebe</w:t>
      </w:r>
      <w:proofErr w:type="spellEnd"/>
      <w:r w:rsidRPr="009619DB">
        <w:rPr>
          <w:rFonts w:asciiTheme="minorHAnsi" w:hAnsiTheme="minorHAnsi" w:cstheme="minorHAnsi"/>
          <w:bCs/>
          <w:iCs/>
        </w:rPr>
        <w:t xml:space="preserve">, K. &amp; </w:t>
      </w:r>
      <w:r w:rsidRPr="009619DB">
        <w:rPr>
          <w:rFonts w:asciiTheme="minorHAnsi" w:hAnsiTheme="minorHAnsi" w:cstheme="minorHAnsi"/>
          <w:b/>
          <w:bCs/>
          <w:iCs/>
        </w:rPr>
        <w:t>de Lemus, S.</w:t>
      </w:r>
      <w:r w:rsidRPr="009619DB">
        <w:rPr>
          <w:rFonts w:asciiTheme="minorHAnsi" w:hAnsiTheme="minorHAnsi" w:cstheme="minorHAnsi"/>
          <w:bCs/>
          <w:iCs/>
        </w:rPr>
        <w:t xml:space="preserve"> (2015). </w:t>
      </w:r>
      <w:r w:rsidRPr="009619DB">
        <w:rPr>
          <w:rFonts w:asciiTheme="minorHAnsi" w:hAnsiTheme="minorHAnsi" w:cstheme="minorHAnsi"/>
          <w:lang w:val="en-US"/>
        </w:rPr>
        <w:t xml:space="preserve">Special issue on "Resisting and confronting disadvantage: from individual coping to societal change". </w:t>
      </w:r>
      <w:proofErr w:type="gramStart"/>
      <w:r w:rsidRPr="009619DB">
        <w:rPr>
          <w:rFonts w:asciiTheme="minorHAnsi" w:hAnsiTheme="minorHAnsi" w:cstheme="minorHAnsi"/>
          <w:i/>
          <w:lang w:val="en-US"/>
        </w:rPr>
        <w:t>Journal of Social Issues</w:t>
      </w:r>
      <w:r w:rsidRPr="009619DB">
        <w:rPr>
          <w:rFonts w:asciiTheme="minorHAnsi" w:hAnsiTheme="minorHAnsi" w:cstheme="minorHAnsi"/>
          <w:lang w:val="en-US"/>
        </w:rPr>
        <w:t>,</w:t>
      </w:r>
      <w:r w:rsidRPr="009619DB">
        <w:rPr>
          <w:rFonts w:asciiTheme="minorHAnsi" w:hAnsiTheme="minorHAnsi" w:cstheme="minorHAnsi"/>
          <w:i/>
          <w:lang w:val="en-US"/>
        </w:rPr>
        <w:t xml:space="preserve"> 71, 3.</w:t>
      </w:r>
      <w:proofErr w:type="gramEnd"/>
    </w:p>
    <w:p w:rsidR="00E3205F" w:rsidRPr="00E3205F" w:rsidRDefault="00E3205F" w:rsidP="00E3205F">
      <w:pPr>
        <w:jc w:val="both"/>
        <w:rPr>
          <w:rFonts w:asciiTheme="minorHAnsi" w:hAnsiTheme="minorHAnsi" w:cstheme="minorHAnsi"/>
          <w:lang w:val="en-US"/>
        </w:rPr>
      </w:pPr>
      <w:proofErr w:type="gramStart"/>
      <w:r w:rsidRPr="009619DB">
        <w:rPr>
          <w:rFonts w:asciiTheme="minorHAnsi" w:hAnsiTheme="minorHAnsi" w:cstheme="minorHAnsi"/>
          <w:b/>
          <w:bCs/>
          <w:iCs/>
          <w:lang w:val="en-US"/>
        </w:rPr>
        <w:t>de</w:t>
      </w:r>
      <w:proofErr w:type="gramEnd"/>
      <w:r w:rsidRPr="009619DB">
        <w:rPr>
          <w:rFonts w:asciiTheme="minorHAnsi" w:hAnsiTheme="minorHAnsi" w:cstheme="minorHAnsi"/>
          <w:b/>
          <w:bCs/>
          <w:iCs/>
          <w:lang w:val="en-US"/>
        </w:rPr>
        <w:t xml:space="preserve"> Lemus, S.,</w:t>
      </w:r>
      <w:r w:rsidRPr="009619DB">
        <w:rPr>
          <w:rFonts w:asciiTheme="minorHAnsi" w:hAnsiTheme="minorHAnsi" w:cstheme="minorHAnsi"/>
          <w:bCs/>
          <w:iCs/>
          <w:lang w:val="en-US"/>
        </w:rPr>
        <w:t xml:space="preserve"> Bukowski, M., Spears, R. &amp; </w:t>
      </w:r>
      <w:proofErr w:type="spellStart"/>
      <w:r w:rsidRPr="009619DB">
        <w:rPr>
          <w:rFonts w:asciiTheme="minorHAnsi" w:hAnsiTheme="minorHAnsi" w:cstheme="minorHAnsi"/>
          <w:bCs/>
          <w:iCs/>
          <w:lang w:val="en-US"/>
        </w:rPr>
        <w:t>Telga</w:t>
      </w:r>
      <w:proofErr w:type="spellEnd"/>
      <w:r w:rsidRPr="009619DB">
        <w:rPr>
          <w:rFonts w:asciiTheme="minorHAnsi" w:hAnsiTheme="minorHAnsi" w:cstheme="minorHAnsi"/>
          <w:bCs/>
          <w:iCs/>
          <w:lang w:val="en-US"/>
        </w:rPr>
        <w:t xml:space="preserve">, M. (2015). </w:t>
      </w:r>
      <w:r w:rsidRPr="009619DB">
        <w:rPr>
          <w:rFonts w:asciiTheme="minorHAnsi" w:hAnsiTheme="minorHAnsi" w:cstheme="minorHAnsi"/>
          <w:lang w:val="en-US"/>
        </w:rPr>
        <w:t xml:space="preserve">Reactance to (or acceptance of) stereotypes: Implicit and explicit responses to group identity threat. </w:t>
      </w:r>
      <w:proofErr w:type="spellStart"/>
      <w:r w:rsidRPr="00E3205F">
        <w:rPr>
          <w:rFonts w:asciiTheme="minorHAnsi" w:hAnsiTheme="minorHAnsi" w:cstheme="minorHAnsi"/>
          <w:bCs/>
          <w:i/>
          <w:iCs/>
          <w:lang w:val="en-US"/>
        </w:rPr>
        <w:t>Zeitschrift</w:t>
      </w:r>
      <w:proofErr w:type="spellEnd"/>
      <w:r w:rsidRPr="00E3205F">
        <w:rPr>
          <w:rFonts w:asciiTheme="minorHAnsi" w:hAnsiTheme="minorHAnsi" w:cstheme="minorHAnsi"/>
          <w:bCs/>
          <w:i/>
          <w:iCs/>
          <w:lang w:val="en-US"/>
        </w:rPr>
        <w:t xml:space="preserve"> </w:t>
      </w:r>
      <w:proofErr w:type="spellStart"/>
      <w:r w:rsidRPr="00E3205F">
        <w:rPr>
          <w:rFonts w:asciiTheme="minorHAnsi" w:hAnsiTheme="minorHAnsi" w:cstheme="minorHAnsi"/>
          <w:bCs/>
          <w:i/>
          <w:iCs/>
          <w:lang w:val="en-US"/>
        </w:rPr>
        <w:t>für</w:t>
      </w:r>
      <w:proofErr w:type="spellEnd"/>
      <w:r w:rsidRPr="00E3205F">
        <w:rPr>
          <w:rFonts w:asciiTheme="minorHAnsi" w:hAnsiTheme="minorHAnsi" w:cstheme="minorHAnsi"/>
          <w:bCs/>
          <w:i/>
          <w:iCs/>
          <w:lang w:val="en-US"/>
        </w:rPr>
        <w:t xml:space="preserve"> </w:t>
      </w:r>
      <w:proofErr w:type="spellStart"/>
      <w:r w:rsidRPr="00E3205F">
        <w:rPr>
          <w:rFonts w:asciiTheme="minorHAnsi" w:hAnsiTheme="minorHAnsi" w:cstheme="minorHAnsi"/>
          <w:bCs/>
          <w:i/>
          <w:iCs/>
          <w:lang w:val="en-US"/>
        </w:rPr>
        <w:t>Psychologie</w:t>
      </w:r>
      <w:proofErr w:type="spellEnd"/>
      <w:r w:rsidRPr="00E3205F">
        <w:rPr>
          <w:rFonts w:asciiTheme="minorHAnsi" w:hAnsiTheme="minorHAnsi" w:cstheme="minorHAnsi"/>
          <w:bCs/>
          <w:i/>
          <w:iCs/>
          <w:lang w:val="en-US"/>
        </w:rPr>
        <w:t xml:space="preserve">, </w:t>
      </w:r>
      <w:r w:rsidRPr="00E3205F">
        <w:rPr>
          <w:rFonts w:asciiTheme="minorHAnsi" w:hAnsiTheme="minorHAnsi" w:cstheme="minorHAnsi"/>
          <w:lang w:val="en-US"/>
        </w:rPr>
        <w:t>223, 236-247</w:t>
      </w:r>
    </w:p>
    <w:p w:rsidR="00E3205F" w:rsidRPr="008C0EA9" w:rsidRDefault="00E3205F" w:rsidP="00E3205F">
      <w:pPr>
        <w:jc w:val="both"/>
        <w:rPr>
          <w:rFonts w:asciiTheme="minorHAnsi" w:hAnsiTheme="minorHAnsi" w:cstheme="minorHAnsi"/>
          <w:iCs/>
        </w:rPr>
      </w:pPr>
      <w:proofErr w:type="gramStart"/>
      <w:r w:rsidRPr="009619DB">
        <w:rPr>
          <w:rFonts w:asciiTheme="minorHAnsi" w:hAnsiTheme="minorHAnsi" w:cstheme="minorHAnsi"/>
          <w:b/>
          <w:iCs/>
          <w:lang w:val="en-US"/>
        </w:rPr>
        <w:t>de</w:t>
      </w:r>
      <w:proofErr w:type="gramEnd"/>
      <w:r w:rsidRPr="009619DB">
        <w:rPr>
          <w:rFonts w:asciiTheme="minorHAnsi" w:hAnsiTheme="minorHAnsi" w:cstheme="minorHAnsi"/>
          <w:b/>
          <w:iCs/>
          <w:lang w:val="en-US"/>
        </w:rPr>
        <w:t xml:space="preserve"> Lemus, S.,</w:t>
      </w:r>
      <w:r w:rsidRPr="009619DB">
        <w:rPr>
          <w:rFonts w:asciiTheme="minorHAnsi" w:hAnsiTheme="minorHAnsi" w:cstheme="minorHAnsi"/>
          <w:iCs/>
          <w:lang w:val="en-US"/>
        </w:rPr>
        <w:t xml:space="preserve"> Spears, R., Bukowski, M., Moya, M., &amp; </w:t>
      </w:r>
      <w:proofErr w:type="spellStart"/>
      <w:r w:rsidRPr="009619DB">
        <w:rPr>
          <w:rFonts w:asciiTheme="minorHAnsi" w:hAnsiTheme="minorHAnsi" w:cstheme="minorHAnsi"/>
          <w:iCs/>
          <w:lang w:val="en-US"/>
        </w:rPr>
        <w:t>Lupiáñez</w:t>
      </w:r>
      <w:proofErr w:type="spellEnd"/>
      <w:r w:rsidRPr="009619DB">
        <w:rPr>
          <w:rFonts w:asciiTheme="minorHAnsi" w:hAnsiTheme="minorHAnsi" w:cstheme="minorHAnsi"/>
          <w:iCs/>
          <w:lang w:val="en-US"/>
        </w:rPr>
        <w:t xml:space="preserve">, J. (2013). </w:t>
      </w:r>
      <w:proofErr w:type="gramStart"/>
      <w:r w:rsidRPr="009619DB">
        <w:rPr>
          <w:rFonts w:asciiTheme="minorHAnsi" w:hAnsiTheme="minorHAnsi" w:cstheme="minorHAnsi"/>
          <w:iCs/>
          <w:lang w:val="en-US"/>
        </w:rPr>
        <w:t>Reversing gender stereotypes as a function of exposure to traditional role relations.</w:t>
      </w:r>
      <w:proofErr w:type="gramEnd"/>
      <w:r w:rsidRPr="009619DB">
        <w:rPr>
          <w:rFonts w:asciiTheme="minorHAnsi" w:hAnsiTheme="minorHAnsi" w:cstheme="minorHAnsi"/>
          <w:iCs/>
          <w:lang w:val="en-US"/>
        </w:rPr>
        <w:t xml:space="preserve"> </w:t>
      </w:r>
      <w:r w:rsidRPr="008C0EA9">
        <w:rPr>
          <w:rFonts w:asciiTheme="minorHAnsi" w:hAnsiTheme="minorHAnsi" w:cstheme="minorHAnsi"/>
          <w:i/>
          <w:iCs/>
        </w:rPr>
        <w:t xml:space="preserve">Social </w:t>
      </w:r>
      <w:proofErr w:type="spellStart"/>
      <w:r w:rsidRPr="008C0EA9">
        <w:rPr>
          <w:rFonts w:asciiTheme="minorHAnsi" w:hAnsiTheme="minorHAnsi" w:cstheme="minorHAnsi"/>
          <w:i/>
          <w:iCs/>
        </w:rPr>
        <w:t>Psychology</w:t>
      </w:r>
      <w:proofErr w:type="spellEnd"/>
      <w:r w:rsidRPr="008C0EA9">
        <w:rPr>
          <w:rFonts w:asciiTheme="minorHAnsi" w:hAnsiTheme="minorHAnsi" w:cstheme="minorHAnsi"/>
          <w:i/>
          <w:iCs/>
        </w:rPr>
        <w:t>, 44,</w:t>
      </w:r>
      <w:r w:rsidRPr="008C0EA9">
        <w:rPr>
          <w:rFonts w:asciiTheme="minorHAnsi" w:hAnsiTheme="minorHAnsi" w:cstheme="minorHAnsi"/>
          <w:iCs/>
        </w:rPr>
        <w:t xml:space="preserve"> 3.</w:t>
      </w:r>
    </w:p>
    <w:sectPr w:rsidR="00E3205F" w:rsidRPr="008C0EA9" w:rsidSect="00E06BE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15C3"/>
    <w:multiLevelType w:val="hybridMultilevel"/>
    <w:tmpl w:val="05D87D70"/>
    <w:lvl w:ilvl="0" w:tplc="C1FA49E8">
      <w:start w:val="1"/>
      <w:numFmt w:val="bullet"/>
      <w:lvlText w:val="•"/>
      <w:lvlJc w:val="left"/>
      <w:pPr>
        <w:tabs>
          <w:tab w:val="num" w:pos="720"/>
        </w:tabs>
        <w:ind w:left="720" w:hanging="360"/>
      </w:pPr>
      <w:rPr>
        <w:rFonts w:ascii="Arial" w:hAnsi="Arial" w:hint="default"/>
      </w:rPr>
    </w:lvl>
    <w:lvl w:ilvl="1" w:tplc="AA3E7D92" w:tentative="1">
      <w:start w:val="1"/>
      <w:numFmt w:val="bullet"/>
      <w:lvlText w:val="•"/>
      <w:lvlJc w:val="left"/>
      <w:pPr>
        <w:tabs>
          <w:tab w:val="num" w:pos="1440"/>
        </w:tabs>
        <w:ind w:left="1440" w:hanging="360"/>
      </w:pPr>
      <w:rPr>
        <w:rFonts w:ascii="Arial" w:hAnsi="Arial" w:hint="default"/>
      </w:rPr>
    </w:lvl>
    <w:lvl w:ilvl="2" w:tplc="CB0C2E40" w:tentative="1">
      <w:start w:val="1"/>
      <w:numFmt w:val="bullet"/>
      <w:lvlText w:val="•"/>
      <w:lvlJc w:val="left"/>
      <w:pPr>
        <w:tabs>
          <w:tab w:val="num" w:pos="2160"/>
        </w:tabs>
        <w:ind w:left="2160" w:hanging="360"/>
      </w:pPr>
      <w:rPr>
        <w:rFonts w:ascii="Arial" w:hAnsi="Arial" w:hint="default"/>
      </w:rPr>
    </w:lvl>
    <w:lvl w:ilvl="3" w:tplc="AF4447AE" w:tentative="1">
      <w:start w:val="1"/>
      <w:numFmt w:val="bullet"/>
      <w:lvlText w:val="•"/>
      <w:lvlJc w:val="left"/>
      <w:pPr>
        <w:tabs>
          <w:tab w:val="num" w:pos="2880"/>
        </w:tabs>
        <w:ind w:left="2880" w:hanging="360"/>
      </w:pPr>
      <w:rPr>
        <w:rFonts w:ascii="Arial" w:hAnsi="Arial" w:hint="default"/>
      </w:rPr>
    </w:lvl>
    <w:lvl w:ilvl="4" w:tplc="64323F76" w:tentative="1">
      <w:start w:val="1"/>
      <w:numFmt w:val="bullet"/>
      <w:lvlText w:val="•"/>
      <w:lvlJc w:val="left"/>
      <w:pPr>
        <w:tabs>
          <w:tab w:val="num" w:pos="3600"/>
        </w:tabs>
        <w:ind w:left="3600" w:hanging="360"/>
      </w:pPr>
      <w:rPr>
        <w:rFonts w:ascii="Arial" w:hAnsi="Arial" w:hint="default"/>
      </w:rPr>
    </w:lvl>
    <w:lvl w:ilvl="5" w:tplc="06CE62F4" w:tentative="1">
      <w:start w:val="1"/>
      <w:numFmt w:val="bullet"/>
      <w:lvlText w:val="•"/>
      <w:lvlJc w:val="left"/>
      <w:pPr>
        <w:tabs>
          <w:tab w:val="num" w:pos="4320"/>
        </w:tabs>
        <w:ind w:left="4320" w:hanging="360"/>
      </w:pPr>
      <w:rPr>
        <w:rFonts w:ascii="Arial" w:hAnsi="Arial" w:hint="default"/>
      </w:rPr>
    </w:lvl>
    <w:lvl w:ilvl="6" w:tplc="BDBC7FC8" w:tentative="1">
      <w:start w:val="1"/>
      <w:numFmt w:val="bullet"/>
      <w:lvlText w:val="•"/>
      <w:lvlJc w:val="left"/>
      <w:pPr>
        <w:tabs>
          <w:tab w:val="num" w:pos="5040"/>
        </w:tabs>
        <w:ind w:left="5040" w:hanging="360"/>
      </w:pPr>
      <w:rPr>
        <w:rFonts w:ascii="Arial" w:hAnsi="Arial" w:hint="default"/>
      </w:rPr>
    </w:lvl>
    <w:lvl w:ilvl="7" w:tplc="892E3358" w:tentative="1">
      <w:start w:val="1"/>
      <w:numFmt w:val="bullet"/>
      <w:lvlText w:val="•"/>
      <w:lvlJc w:val="left"/>
      <w:pPr>
        <w:tabs>
          <w:tab w:val="num" w:pos="5760"/>
        </w:tabs>
        <w:ind w:left="5760" w:hanging="360"/>
      </w:pPr>
      <w:rPr>
        <w:rFonts w:ascii="Arial" w:hAnsi="Arial" w:hint="default"/>
      </w:rPr>
    </w:lvl>
    <w:lvl w:ilvl="8" w:tplc="153054C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CC"/>
    <w:rsid w:val="005E05D5"/>
    <w:rsid w:val="00654022"/>
    <w:rsid w:val="006C185D"/>
    <w:rsid w:val="008B162F"/>
    <w:rsid w:val="00991525"/>
    <w:rsid w:val="00AC6147"/>
    <w:rsid w:val="00CE0015"/>
    <w:rsid w:val="00E3205F"/>
    <w:rsid w:val="00E770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0C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70CC"/>
    <w:rPr>
      <w:color w:val="0000FF" w:themeColor="hyperlink"/>
      <w:u w:val="single"/>
    </w:rPr>
  </w:style>
  <w:style w:type="character" w:styleId="Refdecomentario">
    <w:name w:val="annotation reference"/>
    <w:basedOn w:val="Fuentedeprrafopredeter"/>
    <w:uiPriority w:val="99"/>
    <w:semiHidden/>
    <w:unhideWhenUsed/>
    <w:rsid w:val="00E770CC"/>
    <w:rPr>
      <w:sz w:val="16"/>
      <w:szCs w:val="16"/>
    </w:rPr>
  </w:style>
  <w:style w:type="paragraph" w:styleId="Textocomentario">
    <w:name w:val="annotation text"/>
    <w:basedOn w:val="Normal"/>
    <w:link w:val="TextocomentarioCar"/>
    <w:uiPriority w:val="99"/>
    <w:semiHidden/>
    <w:unhideWhenUsed/>
    <w:rsid w:val="00E770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70C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70CC"/>
    <w:rPr>
      <w:b/>
      <w:bCs/>
    </w:rPr>
  </w:style>
  <w:style w:type="character" w:customStyle="1" w:styleId="AsuntodelcomentarioCar">
    <w:name w:val="Asunto del comentario Car"/>
    <w:basedOn w:val="TextocomentarioCar"/>
    <w:link w:val="Asuntodelcomentario"/>
    <w:uiPriority w:val="99"/>
    <w:semiHidden/>
    <w:rsid w:val="00E770CC"/>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E77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0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0C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70CC"/>
    <w:rPr>
      <w:color w:val="0000FF" w:themeColor="hyperlink"/>
      <w:u w:val="single"/>
    </w:rPr>
  </w:style>
  <w:style w:type="character" w:styleId="Refdecomentario">
    <w:name w:val="annotation reference"/>
    <w:basedOn w:val="Fuentedeprrafopredeter"/>
    <w:uiPriority w:val="99"/>
    <w:semiHidden/>
    <w:unhideWhenUsed/>
    <w:rsid w:val="00E770CC"/>
    <w:rPr>
      <w:sz w:val="16"/>
      <w:szCs w:val="16"/>
    </w:rPr>
  </w:style>
  <w:style w:type="paragraph" w:styleId="Textocomentario">
    <w:name w:val="annotation text"/>
    <w:basedOn w:val="Normal"/>
    <w:link w:val="TextocomentarioCar"/>
    <w:uiPriority w:val="99"/>
    <w:semiHidden/>
    <w:unhideWhenUsed/>
    <w:rsid w:val="00E770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70C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70CC"/>
    <w:rPr>
      <w:b/>
      <w:bCs/>
    </w:rPr>
  </w:style>
  <w:style w:type="character" w:customStyle="1" w:styleId="AsuntodelcomentarioCar">
    <w:name w:val="Asunto del comentario Car"/>
    <w:basedOn w:val="TextocomentarioCar"/>
    <w:link w:val="Asuntodelcomentario"/>
    <w:uiPriority w:val="99"/>
    <w:semiHidden/>
    <w:rsid w:val="00E770CC"/>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E77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0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05699">
      <w:bodyDiv w:val="1"/>
      <w:marLeft w:val="0"/>
      <w:marRight w:val="0"/>
      <w:marTop w:val="0"/>
      <w:marBottom w:val="0"/>
      <w:divBdr>
        <w:top w:val="none" w:sz="0" w:space="0" w:color="auto"/>
        <w:left w:val="none" w:sz="0" w:space="0" w:color="auto"/>
        <w:bottom w:val="none" w:sz="0" w:space="0" w:color="auto"/>
        <w:right w:val="none" w:sz="0" w:space="0" w:color="auto"/>
      </w:divBdr>
      <w:divsChild>
        <w:div w:id="732854206">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d-gepopre.ugr.es/~slemus/datos_persona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292</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 Lemus</dc:creator>
  <cp:lastModifiedBy>Sole Lemus</cp:lastModifiedBy>
  <cp:revision>6</cp:revision>
  <dcterms:created xsi:type="dcterms:W3CDTF">2016-10-25T09:08:00Z</dcterms:created>
  <dcterms:modified xsi:type="dcterms:W3CDTF">2016-11-10T12:55:00Z</dcterms:modified>
</cp:coreProperties>
</file>